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9" w:rsidRDefault="00C06E09" w:rsidP="00C06E09">
      <w:pPr>
        <w:pStyle w:val="TOC1"/>
        <w:tabs>
          <w:tab w:val="left" w:pos="382"/>
          <w:tab w:val="right" w:leader="dot" w:pos="9350"/>
        </w:tabs>
      </w:pPr>
    </w:p>
    <w:p w:rsidR="00C06E09" w:rsidRPr="00C06E09" w:rsidRDefault="00C06E09" w:rsidP="00C06E09"/>
    <w:p w:rsidR="00C06E09" w:rsidRDefault="00C06E09" w:rsidP="00C06E09"/>
    <w:p w:rsidR="00C06E09" w:rsidRDefault="00DC047A" w:rsidP="00DC047A">
      <w:pPr>
        <w:jc w:val="center"/>
      </w:pPr>
      <w:r>
        <w:rPr>
          <w:noProof/>
          <w:lang w:val="en-CA" w:eastAsia="en-CA"/>
        </w:rPr>
        <w:drawing>
          <wp:inline distT="0" distB="0" distL="0" distR="0">
            <wp:extent cx="4550232" cy="1447800"/>
            <wp:effectExtent l="19050" t="0" r="2718" b="0"/>
            <wp:docPr id="3" name="Picture 1" descr="https://intranet.itservices.ubc.ca/logos/Document%20Library/Logos/web/it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itservices.ubc.ca/logos/Document%20Library/Logos/web/it_logo_colour.gif"/>
                    <pic:cNvPicPr>
                      <a:picLocks noChangeAspect="1" noChangeArrowheads="1"/>
                    </pic:cNvPicPr>
                  </pic:nvPicPr>
                  <pic:blipFill>
                    <a:blip r:embed="rId9" cstate="print"/>
                    <a:srcRect/>
                    <a:stretch>
                      <a:fillRect/>
                    </a:stretch>
                  </pic:blipFill>
                  <pic:spPr bwMode="auto">
                    <a:xfrm>
                      <a:off x="0" y="0"/>
                      <a:ext cx="4556642" cy="1449840"/>
                    </a:xfrm>
                    <a:prstGeom prst="rect">
                      <a:avLst/>
                    </a:prstGeom>
                    <a:noFill/>
                    <a:ln w="9525">
                      <a:noFill/>
                      <a:miter lim="800000"/>
                      <a:headEnd/>
                      <a:tailEnd/>
                    </a:ln>
                  </pic:spPr>
                </pic:pic>
              </a:graphicData>
            </a:graphic>
          </wp:inline>
        </w:drawing>
      </w:r>
    </w:p>
    <w:p w:rsidR="00C06E09" w:rsidRDefault="00C06E09"/>
    <w:p w:rsidR="00DC047A" w:rsidRDefault="00DC047A"/>
    <w:p w:rsidR="00DC047A" w:rsidRDefault="00DC047A"/>
    <w:p w:rsidR="00DC047A" w:rsidRDefault="00DC047A"/>
    <w:p w:rsidR="00DC047A" w:rsidRDefault="00DC047A"/>
    <w:p w:rsidR="00DC047A" w:rsidRDefault="00DC047A"/>
    <w:p w:rsidR="00DC047A" w:rsidRDefault="00DC047A"/>
    <w:p w:rsidR="00DC047A" w:rsidRDefault="00DC047A"/>
    <w:p w:rsidR="00DC047A" w:rsidRDefault="00AE4C74">
      <w:r w:rsidRPr="00B40CBA">
        <w:rPr>
          <w:noProof/>
        </w:rPr>
        <w:pict>
          <v:shapetype id="_x0000_t202" coordsize="21600,21600" o:spt="202" path="m,l,21600r21600,l21600,xe">
            <v:stroke joinstyle="miter"/>
            <v:path gradientshapeok="t" o:connecttype="rect"/>
          </v:shapetype>
          <v:shape id="_x0000_s2052" type="#_x0000_t202" style="position:absolute;margin-left:8.25pt;margin-top:9.7pt;width:451.5pt;height:182.5pt;z-index:251662336" stroked="f">
            <v:textbox style="mso-next-textbox:#_x0000_s2052">
              <w:txbxContent>
                <w:p w:rsidR="00892835" w:rsidRPr="00D41783" w:rsidRDefault="00892835" w:rsidP="00D41783">
                  <w:pPr>
                    <w:rPr>
                      <w:b/>
                      <w:sz w:val="56"/>
                      <w:szCs w:val="72"/>
                    </w:rPr>
                  </w:pPr>
                  <w:r w:rsidRPr="00D41783">
                    <w:rPr>
                      <w:b/>
                      <w:sz w:val="56"/>
                      <w:szCs w:val="72"/>
                    </w:rPr>
                    <w:t>Business Case</w:t>
                  </w:r>
                </w:p>
                <w:p w:rsidR="00892835" w:rsidRDefault="00892835" w:rsidP="00D41783">
                  <w:pPr>
                    <w:rPr>
                      <w:sz w:val="36"/>
                      <w:szCs w:val="36"/>
                    </w:rPr>
                  </w:pPr>
                  <w:proofErr w:type="gramStart"/>
                  <w:r>
                    <w:rPr>
                      <w:sz w:val="36"/>
                      <w:szCs w:val="36"/>
                    </w:rPr>
                    <w:t>IT</w:t>
                  </w:r>
                  <w:proofErr w:type="gramEnd"/>
                  <w:r>
                    <w:rPr>
                      <w:sz w:val="36"/>
                      <w:szCs w:val="36"/>
                    </w:rPr>
                    <w:t xml:space="preserve"> Service Management </w:t>
                  </w:r>
                  <w:r w:rsidR="00AE4C74">
                    <w:rPr>
                      <w:sz w:val="36"/>
                      <w:szCs w:val="36"/>
                    </w:rPr>
                    <w:br/>
                    <w:t xml:space="preserve">Process Framework &amp; </w:t>
                  </w:r>
                  <w:r>
                    <w:rPr>
                      <w:sz w:val="36"/>
                      <w:szCs w:val="36"/>
                    </w:rPr>
                    <w:t>Tool Suite</w:t>
                  </w:r>
                  <w:r w:rsidR="00AE4C74">
                    <w:rPr>
                      <w:sz w:val="36"/>
                      <w:szCs w:val="36"/>
                    </w:rPr>
                    <w:t xml:space="preserve"> Implementation</w:t>
                  </w:r>
                </w:p>
                <w:p w:rsidR="00AE4C74" w:rsidRDefault="00AE4C74" w:rsidP="00D41783">
                  <w:pPr>
                    <w:rPr>
                      <w:sz w:val="28"/>
                      <w:szCs w:val="36"/>
                    </w:rPr>
                  </w:pPr>
                </w:p>
                <w:p w:rsidR="00892835" w:rsidRPr="00AE4C74" w:rsidRDefault="00AE4C74" w:rsidP="00D41783">
                  <w:pPr>
                    <w:rPr>
                      <w:sz w:val="28"/>
                      <w:szCs w:val="36"/>
                    </w:rPr>
                  </w:pPr>
                  <w:r w:rsidRPr="00AE4C74">
                    <w:rPr>
                      <w:sz w:val="28"/>
                      <w:szCs w:val="36"/>
                    </w:rPr>
                    <w:t>Prepared by Laura Cutshall</w:t>
                  </w:r>
                  <w:r>
                    <w:rPr>
                      <w:sz w:val="28"/>
                      <w:szCs w:val="36"/>
                    </w:rPr>
                    <w:br/>
                  </w:r>
                  <w:r w:rsidR="00892835" w:rsidRPr="00AE4C74">
                    <w:rPr>
                      <w:sz w:val="28"/>
                      <w:szCs w:val="36"/>
                    </w:rPr>
                    <w:t>February 2011</w:t>
                  </w:r>
                </w:p>
              </w:txbxContent>
            </v:textbox>
          </v:shape>
        </w:pict>
      </w:r>
    </w:p>
    <w:p w:rsidR="00DC047A" w:rsidRDefault="00DC047A"/>
    <w:p w:rsidR="00DC047A" w:rsidRDefault="00DC047A"/>
    <w:p w:rsidR="00DC047A" w:rsidRDefault="00DC047A"/>
    <w:p w:rsidR="00DC047A" w:rsidRDefault="00DC047A"/>
    <w:p w:rsidR="00DC047A" w:rsidRDefault="00DC047A"/>
    <w:p w:rsidR="00DC047A" w:rsidRDefault="00DC047A"/>
    <w:p w:rsidR="00DC047A" w:rsidRDefault="00DC047A"/>
    <w:p w:rsidR="00DC047A" w:rsidRDefault="00DC047A"/>
    <w:p w:rsidR="00DC047A" w:rsidRDefault="00DC047A"/>
    <w:p w:rsidR="00DC047A" w:rsidRDefault="00DC047A" w:rsidP="00DC047A">
      <w:pPr>
        <w:pStyle w:val="TOC1"/>
        <w:tabs>
          <w:tab w:val="left" w:pos="382"/>
          <w:tab w:val="right" w:leader="dot" w:pos="9350"/>
        </w:tabs>
      </w:pPr>
    </w:p>
    <w:p w:rsidR="00DC047A" w:rsidRDefault="00DC047A" w:rsidP="00DC047A">
      <w:pPr>
        <w:pStyle w:val="TOC1"/>
        <w:tabs>
          <w:tab w:val="left" w:pos="382"/>
          <w:tab w:val="right" w:leader="dot" w:pos="9350"/>
        </w:tabs>
      </w:pPr>
    </w:p>
    <w:p w:rsidR="00AE4C74" w:rsidRDefault="00B40CBA">
      <w:pPr>
        <w:pStyle w:val="TOC1"/>
        <w:tabs>
          <w:tab w:val="left" w:pos="440"/>
          <w:tab w:val="right" w:leader="dot" w:pos="9350"/>
        </w:tabs>
        <w:rPr>
          <w:rFonts w:eastAsiaTheme="minorEastAsia" w:cstheme="minorBidi"/>
          <w:b w:val="0"/>
          <w:noProof/>
          <w:sz w:val="22"/>
          <w:szCs w:val="22"/>
          <w:lang w:val="en-CA" w:eastAsia="en-CA"/>
        </w:rPr>
      </w:pPr>
      <w:r w:rsidRPr="00B40CBA">
        <w:fldChar w:fldCharType="begin"/>
      </w:r>
      <w:r w:rsidR="00DC047A">
        <w:instrText xml:space="preserve"> TOC \o "1-3" </w:instrText>
      </w:r>
      <w:r w:rsidRPr="00B40CBA">
        <w:fldChar w:fldCharType="separate"/>
      </w:r>
      <w:r w:rsidR="00AE4C74">
        <w:rPr>
          <w:noProof/>
        </w:rPr>
        <w:t>1</w:t>
      </w:r>
      <w:r w:rsidR="00AE4C74">
        <w:rPr>
          <w:rFonts w:eastAsiaTheme="minorEastAsia" w:cstheme="minorBidi"/>
          <w:b w:val="0"/>
          <w:noProof/>
          <w:sz w:val="22"/>
          <w:szCs w:val="22"/>
          <w:lang w:val="en-CA" w:eastAsia="en-CA"/>
        </w:rPr>
        <w:tab/>
      </w:r>
      <w:r w:rsidR="00AE4C74">
        <w:rPr>
          <w:noProof/>
        </w:rPr>
        <w:t>Summary</w:t>
      </w:r>
      <w:r w:rsidR="00AE4C74">
        <w:rPr>
          <w:noProof/>
        </w:rPr>
        <w:tab/>
      </w:r>
      <w:r w:rsidR="00AE4C74">
        <w:rPr>
          <w:noProof/>
        </w:rPr>
        <w:fldChar w:fldCharType="begin"/>
      </w:r>
      <w:r w:rsidR="00AE4C74">
        <w:rPr>
          <w:noProof/>
        </w:rPr>
        <w:instrText xml:space="preserve"> PAGEREF _Toc286060920 \h </w:instrText>
      </w:r>
      <w:r w:rsidR="00AE4C74">
        <w:rPr>
          <w:noProof/>
        </w:rPr>
      </w:r>
      <w:r w:rsidR="00AE4C74">
        <w:rPr>
          <w:noProof/>
        </w:rPr>
        <w:fldChar w:fldCharType="separate"/>
      </w:r>
      <w:r w:rsidR="00AE4C74">
        <w:rPr>
          <w:noProof/>
        </w:rPr>
        <w:t>3</w:t>
      </w:r>
      <w:r w:rsidR="00AE4C74">
        <w:rPr>
          <w:noProof/>
        </w:rPr>
        <w:fldChar w:fldCharType="end"/>
      </w:r>
    </w:p>
    <w:p w:rsidR="00AE4C74" w:rsidRDefault="00AE4C74">
      <w:pPr>
        <w:pStyle w:val="TOC1"/>
        <w:tabs>
          <w:tab w:val="left" w:pos="440"/>
          <w:tab w:val="right" w:leader="dot" w:pos="9350"/>
        </w:tabs>
        <w:rPr>
          <w:rFonts w:eastAsiaTheme="minorEastAsia" w:cstheme="minorBidi"/>
          <w:b w:val="0"/>
          <w:noProof/>
          <w:sz w:val="22"/>
          <w:szCs w:val="22"/>
          <w:lang w:val="en-CA" w:eastAsia="en-CA"/>
        </w:rPr>
      </w:pPr>
      <w:r>
        <w:rPr>
          <w:noProof/>
        </w:rPr>
        <w:t>2</w:t>
      </w:r>
      <w:r>
        <w:rPr>
          <w:rFonts w:eastAsiaTheme="minorEastAsia" w:cstheme="minorBidi"/>
          <w:b w:val="0"/>
          <w:noProof/>
          <w:sz w:val="22"/>
          <w:szCs w:val="22"/>
          <w:lang w:val="en-CA" w:eastAsia="en-CA"/>
        </w:rPr>
        <w:tab/>
      </w:r>
      <w:r>
        <w:rPr>
          <w:noProof/>
        </w:rPr>
        <w:t>Background</w:t>
      </w:r>
      <w:r>
        <w:rPr>
          <w:noProof/>
        </w:rPr>
        <w:tab/>
      </w:r>
      <w:r>
        <w:rPr>
          <w:noProof/>
        </w:rPr>
        <w:fldChar w:fldCharType="begin"/>
      </w:r>
      <w:r>
        <w:rPr>
          <w:noProof/>
        </w:rPr>
        <w:instrText xml:space="preserve"> PAGEREF _Toc286060921 \h </w:instrText>
      </w:r>
      <w:r>
        <w:rPr>
          <w:noProof/>
        </w:rPr>
      </w:r>
      <w:r>
        <w:rPr>
          <w:noProof/>
        </w:rPr>
        <w:fldChar w:fldCharType="separate"/>
      </w:r>
      <w:r>
        <w:rPr>
          <w:noProof/>
        </w:rPr>
        <w:t>3</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Pr>
          <w:noProof/>
        </w:rPr>
        <w:t>2.1</w:t>
      </w:r>
      <w:r>
        <w:rPr>
          <w:rFonts w:eastAsiaTheme="minorEastAsia" w:cstheme="minorBidi"/>
          <w:b w:val="0"/>
          <w:noProof/>
          <w:lang w:val="en-CA" w:eastAsia="en-CA"/>
        </w:rPr>
        <w:tab/>
      </w:r>
      <w:r>
        <w:rPr>
          <w:noProof/>
        </w:rPr>
        <w:t>Background / Current State</w:t>
      </w:r>
      <w:r>
        <w:rPr>
          <w:noProof/>
        </w:rPr>
        <w:tab/>
      </w:r>
      <w:r>
        <w:rPr>
          <w:noProof/>
        </w:rPr>
        <w:fldChar w:fldCharType="begin"/>
      </w:r>
      <w:r>
        <w:rPr>
          <w:noProof/>
        </w:rPr>
        <w:instrText xml:space="preserve"> PAGEREF _Toc286060922 \h </w:instrText>
      </w:r>
      <w:r>
        <w:rPr>
          <w:noProof/>
        </w:rPr>
      </w:r>
      <w:r>
        <w:rPr>
          <w:noProof/>
        </w:rPr>
        <w:fldChar w:fldCharType="separate"/>
      </w:r>
      <w:r>
        <w:rPr>
          <w:noProof/>
        </w:rPr>
        <w:t>3</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Pr>
          <w:noProof/>
        </w:rPr>
        <w:t>2.2</w:t>
      </w:r>
      <w:r>
        <w:rPr>
          <w:rFonts w:eastAsiaTheme="minorEastAsia" w:cstheme="minorBidi"/>
          <w:b w:val="0"/>
          <w:noProof/>
          <w:lang w:val="en-CA" w:eastAsia="en-CA"/>
        </w:rPr>
        <w:tab/>
      </w:r>
      <w:r>
        <w:rPr>
          <w:noProof/>
        </w:rPr>
        <w:t>Business Drivers</w:t>
      </w:r>
      <w:r>
        <w:rPr>
          <w:noProof/>
        </w:rPr>
        <w:tab/>
      </w:r>
      <w:r>
        <w:rPr>
          <w:noProof/>
        </w:rPr>
        <w:fldChar w:fldCharType="begin"/>
      </w:r>
      <w:r>
        <w:rPr>
          <w:noProof/>
        </w:rPr>
        <w:instrText xml:space="preserve"> PAGEREF _Toc286060923 \h </w:instrText>
      </w:r>
      <w:r>
        <w:rPr>
          <w:noProof/>
        </w:rPr>
      </w:r>
      <w:r>
        <w:rPr>
          <w:noProof/>
        </w:rPr>
        <w:fldChar w:fldCharType="separate"/>
      </w:r>
      <w:r>
        <w:rPr>
          <w:noProof/>
        </w:rPr>
        <w:t>3</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Pr>
          <w:noProof/>
        </w:rPr>
        <w:t>2.3</w:t>
      </w:r>
      <w:r>
        <w:rPr>
          <w:rFonts w:eastAsiaTheme="minorEastAsia" w:cstheme="minorBidi"/>
          <w:b w:val="0"/>
          <w:noProof/>
          <w:lang w:val="en-CA" w:eastAsia="en-CA"/>
        </w:rPr>
        <w:tab/>
      </w:r>
      <w:r>
        <w:rPr>
          <w:noProof/>
        </w:rPr>
        <w:t>Technology Drivers</w:t>
      </w:r>
      <w:r>
        <w:rPr>
          <w:noProof/>
        </w:rPr>
        <w:tab/>
      </w:r>
      <w:r>
        <w:rPr>
          <w:noProof/>
        </w:rPr>
        <w:fldChar w:fldCharType="begin"/>
      </w:r>
      <w:r>
        <w:rPr>
          <w:noProof/>
        </w:rPr>
        <w:instrText xml:space="preserve"> PAGEREF _Toc286060924 \h </w:instrText>
      </w:r>
      <w:r>
        <w:rPr>
          <w:noProof/>
        </w:rPr>
      </w:r>
      <w:r>
        <w:rPr>
          <w:noProof/>
        </w:rPr>
        <w:fldChar w:fldCharType="separate"/>
      </w:r>
      <w:r>
        <w:rPr>
          <w:noProof/>
        </w:rPr>
        <w:t>3</w:t>
      </w:r>
      <w:r>
        <w:rPr>
          <w:noProof/>
        </w:rPr>
        <w:fldChar w:fldCharType="end"/>
      </w:r>
    </w:p>
    <w:p w:rsidR="00AE4C74" w:rsidRDefault="00AE4C74">
      <w:pPr>
        <w:pStyle w:val="TOC1"/>
        <w:tabs>
          <w:tab w:val="left" w:pos="440"/>
          <w:tab w:val="right" w:leader="dot" w:pos="9350"/>
        </w:tabs>
        <w:rPr>
          <w:rFonts w:eastAsiaTheme="minorEastAsia" w:cstheme="minorBidi"/>
          <w:b w:val="0"/>
          <w:noProof/>
          <w:sz w:val="22"/>
          <w:szCs w:val="22"/>
          <w:lang w:val="en-CA" w:eastAsia="en-CA"/>
        </w:rPr>
      </w:pPr>
      <w:r>
        <w:rPr>
          <w:noProof/>
        </w:rPr>
        <w:t>3</w:t>
      </w:r>
      <w:r>
        <w:rPr>
          <w:rFonts w:eastAsiaTheme="minorEastAsia" w:cstheme="minorBidi"/>
          <w:b w:val="0"/>
          <w:noProof/>
          <w:sz w:val="22"/>
          <w:szCs w:val="22"/>
          <w:lang w:val="en-CA" w:eastAsia="en-CA"/>
        </w:rPr>
        <w:tab/>
      </w:r>
      <w:r>
        <w:rPr>
          <w:noProof/>
        </w:rPr>
        <w:t>Expected Measurable Benefits</w:t>
      </w:r>
      <w:r>
        <w:rPr>
          <w:noProof/>
        </w:rPr>
        <w:tab/>
      </w:r>
      <w:r>
        <w:rPr>
          <w:noProof/>
        </w:rPr>
        <w:fldChar w:fldCharType="begin"/>
      </w:r>
      <w:r>
        <w:rPr>
          <w:noProof/>
        </w:rPr>
        <w:instrText xml:space="preserve"> PAGEREF _Toc286060925 \h </w:instrText>
      </w:r>
      <w:r>
        <w:rPr>
          <w:noProof/>
        </w:rPr>
      </w:r>
      <w:r>
        <w:rPr>
          <w:noProof/>
        </w:rPr>
        <w:fldChar w:fldCharType="separate"/>
      </w:r>
      <w:r>
        <w:rPr>
          <w:noProof/>
        </w:rPr>
        <w:t>4</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Pr>
          <w:noProof/>
        </w:rPr>
        <w:t>3.1</w:t>
      </w:r>
      <w:r>
        <w:rPr>
          <w:rFonts w:eastAsiaTheme="minorEastAsia" w:cstheme="minorBidi"/>
          <w:b w:val="0"/>
          <w:noProof/>
          <w:lang w:val="en-CA" w:eastAsia="en-CA"/>
        </w:rPr>
        <w:tab/>
      </w:r>
      <w:r>
        <w:rPr>
          <w:noProof/>
        </w:rPr>
        <w:t>Benefits Impact Table</w:t>
      </w:r>
      <w:r>
        <w:rPr>
          <w:noProof/>
        </w:rPr>
        <w:tab/>
      </w:r>
      <w:r>
        <w:rPr>
          <w:noProof/>
        </w:rPr>
        <w:fldChar w:fldCharType="begin"/>
      </w:r>
      <w:r>
        <w:rPr>
          <w:noProof/>
        </w:rPr>
        <w:instrText xml:space="preserve"> PAGEREF _Toc286060926 \h </w:instrText>
      </w:r>
      <w:r>
        <w:rPr>
          <w:noProof/>
        </w:rPr>
      </w:r>
      <w:r>
        <w:rPr>
          <w:noProof/>
        </w:rPr>
        <w:fldChar w:fldCharType="separate"/>
      </w:r>
      <w:r>
        <w:rPr>
          <w:noProof/>
        </w:rPr>
        <w:t>7</w:t>
      </w:r>
      <w:r>
        <w:rPr>
          <w:noProof/>
        </w:rPr>
        <w:fldChar w:fldCharType="end"/>
      </w:r>
    </w:p>
    <w:p w:rsidR="00AE4C74" w:rsidRPr="00AE4C74" w:rsidRDefault="00AE4C74">
      <w:pPr>
        <w:pStyle w:val="TOC1"/>
        <w:tabs>
          <w:tab w:val="left" w:pos="440"/>
          <w:tab w:val="right" w:leader="dot" w:pos="9350"/>
        </w:tabs>
        <w:rPr>
          <w:rFonts w:eastAsiaTheme="minorEastAsia" w:cstheme="minorBidi"/>
          <w:b w:val="0"/>
          <w:noProof/>
          <w:sz w:val="22"/>
          <w:szCs w:val="22"/>
          <w:lang w:val="en-CA" w:eastAsia="en-CA"/>
        </w:rPr>
      </w:pPr>
      <w:r>
        <w:rPr>
          <w:noProof/>
        </w:rPr>
        <w:t>4</w:t>
      </w:r>
      <w:r>
        <w:rPr>
          <w:rFonts w:eastAsiaTheme="minorEastAsia" w:cstheme="minorBidi"/>
          <w:b w:val="0"/>
          <w:noProof/>
          <w:sz w:val="22"/>
          <w:szCs w:val="22"/>
          <w:lang w:val="en-CA" w:eastAsia="en-CA"/>
        </w:rPr>
        <w:tab/>
      </w:r>
      <w:r>
        <w:rPr>
          <w:noProof/>
        </w:rPr>
        <w:t xml:space="preserve">Cost / </w:t>
      </w:r>
      <w:r w:rsidRPr="00AE4C74">
        <w:rPr>
          <w:noProof/>
        </w:rPr>
        <w:t>Benefit Financial Analysis</w:t>
      </w:r>
      <w:r w:rsidRPr="00AE4C74">
        <w:rPr>
          <w:noProof/>
        </w:rPr>
        <w:tab/>
      </w:r>
      <w:r w:rsidRPr="00AE4C74">
        <w:rPr>
          <w:noProof/>
        </w:rPr>
        <w:fldChar w:fldCharType="begin"/>
      </w:r>
      <w:r w:rsidRPr="00AE4C74">
        <w:rPr>
          <w:noProof/>
        </w:rPr>
        <w:instrText xml:space="preserve"> PAGEREF _Toc286060927 \h </w:instrText>
      </w:r>
      <w:r w:rsidRPr="00AE4C74">
        <w:rPr>
          <w:noProof/>
        </w:rPr>
      </w:r>
      <w:r w:rsidRPr="00AE4C74">
        <w:rPr>
          <w:noProof/>
        </w:rPr>
        <w:fldChar w:fldCharType="separate"/>
      </w:r>
      <w:r w:rsidRPr="00AE4C74">
        <w:rPr>
          <w:noProof/>
        </w:rPr>
        <w:t>7</w:t>
      </w:r>
      <w:r w:rsidRPr="00AE4C74">
        <w:rPr>
          <w:noProof/>
        </w:rPr>
        <w:fldChar w:fldCharType="end"/>
      </w:r>
    </w:p>
    <w:p w:rsidR="00AE4C74" w:rsidRPr="00AE4C74" w:rsidRDefault="00AE4C74">
      <w:pPr>
        <w:pStyle w:val="TOC2"/>
        <w:tabs>
          <w:tab w:val="left" w:pos="960"/>
          <w:tab w:val="right" w:leader="dot" w:pos="9350"/>
        </w:tabs>
        <w:rPr>
          <w:rFonts w:eastAsiaTheme="minorEastAsia" w:cstheme="minorBidi"/>
          <w:b w:val="0"/>
          <w:noProof/>
          <w:lang w:val="en-CA" w:eastAsia="en-CA"/>
        </w:rPr>
      </w:pPr>
      <w:r w:rsidRPr="00AE4C74">
        <w:rPr>
          <w:iCs/>
          <w:noProof/>
        </w:rPr>
        <w:t>4.1</w:t>
      </w:r>
      <w:r w:rsidRPr="00AE4C74">
        <w:rPr>
          <w:rFonts w:eastAsiaTheme="minorEastAsia" w:cstheme="minorBidi"/>
          <w:b w:val="0"/>
          <w:noProof/>
          <w:lang w:val="en-CA" w:eastAsia="en-CA"/>
        </w:rPr>
        <w:tab/>
      </w:r>
      <w:r w:rsidRPr="00AE4C74">
        <w:rPr>
          <w:iCs/>
          <w:noProof/>
        </w:rPr>
        <w:t>Estimated 5 Year Benefits</w:t>
      </w:r>
      <w:r w:rsidRPr="00AE4C74">
        <w:rPr>
          <w:noProof/>
        </w:rPr>
        <w:tab/>
      </w:r>
      <w:r w:rsidRPr="00AE4C74">
        <w:rPr>
          <w:noProof/>
        </w:rPr>
        <w:fldChar w:fldCharType="begin"/>
      </w:r>
      <w:r w:rsidRPr="00AE4C74">
        <w:rPr>
          <w:noProof/>
        </w:rPr>
        <w:instrText xml:space="preserve"> PAGEREF _Toc286060928 \h </w:instrText>
      </w:r>
      <w:r w:rsidRPr="00AE4C74">
        <w:rPr>
          <w:noProof/>
        </w:rPr>
      </w:r>
      <w:r w:rsidRPr="00AE4C74">
        <w:rPr>
          <w:noProof/>
        </w:rPr>
        <w:fldChar w:fldCharType="separate"/>
      </w:r>
      <w:r w:rsidRPr="00AE4C74">
        <w:rPr>
          <w:noProof/>
        </w:rPr>
        <w:t>7</w:t>
      </w:r>
      <w:r w:rsidRPr="00AE4C74">
        <w:rPr>
          <w:noProof/>
        </w:rPr>
        <w:fldChar w:fldCharType="end"/>
      </w:r>
    </w:p>
    <w:p w:rsidR="00AE4C74" w:rsidRPr="00AE4C74" w:rsidRDefault="00AE4C74">
      <w:pPr>
        <w:pStyle w:val="TOC2"/>
        <w:tabs>
          <w:tab w:val="left" w:pos="960"/>
          <w:tab w:val="right" w:leader="dot" w:pos="9350"/>
        </w:tabs>
        <w:rPr>
          <w:rFonts w:eastAsiaTheme="minorEastAsia" w:cstheme="minorBidi"/>
          <w:b w:val="0"/>
          <w:noProof/>
          <w:lang w:val="en-CA" w:eastAsia="en-CA"/>
        </w:rPr>
      </w:pPr>
      <w:r w:rsidRPr="00AE4C74">
        <w:rPr>
          <w:iCs/>
          <w:noProof/>
        </w:rPr>
        <w:t>4.2</w:t>
      </w:r>
      <w:r w:rsidRPr="00AE4C74">
        <w:rPr>
          <w:rFonts w:eastAsiaTheme="minorEastAsia" w:cstheme="minorBidi"/>
          <w:b w:val="0"/>
          <w:noProof/>
          <w:lang w:val="en-CA" w:eastAsia="en-CA"/>
        </w:rPr>
        <w:tab/>
      </w:r>
      <w:r w:rsidRPr="00AE4C74">
        <w:rPr>
          <w:iCs/>
          <w:noProof/>
        </w:rPr>
        <w:t>Estimated 5 Year Total Cost of Ownership (TCO)</w:t>
      </w:r>
      <w:r w:rsidRPr="00AE4C74">
        <w:rPr>
          <w:noProof/>
        </w:rPr>
        <w:tab/>
      </w:r>
      <w:r w:rsidRPr="00AE4C74">
        <w:rPr>
          <w:noProof/>
        </w:rPr>
        <w:fldChar w:fldCharType="begin"/>
      </w:r>
      <w:r w:rsidRPr="00AE4C74">
        <w:rPr>
          <w:noProof/>
        </w:rPr>
        <w:instrText xml:space="preserve"> PAGEREF _Toc286060929 \h </w:instrText>
      </w:r>
      <w:r w:rsidRPr="00AE4C74">
        <w:rPr>
          <w:noProof/>
        </w:rPr>
      </w:r>
      <w:r w:rsidRPr="00AE4C74">
        <w:rPr>
          <w:noProof/>
        </w:rPr>
        <w:fldChar w:fldCharType="separate"/>
      </w:r>
      <w:r w:rsidRPr="00AE4C74">
        <w:rPr>
          <w:noProof/>
        </w:rPr>
        <w:t>8</w:t>
      </w:r>
      <w:r w:rsidRPr="00AE4C74">
        <w:rPr>
          <w:noProof/>
        </w:rPr>
        <w:fldChar w:fldCharType="end"/>
      </w:r>
    </w:p>
    <w:p w:rsidR="00AE4C74" w:rsidRPr="00AE4C74" w:rsidRDefault="00AE4C74">
      <w:pPr>
        <w:pStyle w:val="TOC2"/>
        <w:tabs>
          <w:tab w:val="left" w:pos="960"/>
          <w:tab w:val="right" w:leader="dot" w:pos="9350"/>
        </w:tabs>
        <w:rPr>
          <w:rFonts w:eastAsiaTheme="minorEastAsia" w:cstheme="minorBidi"/>
          <w:b w:val="0"/>
          <w:noProof/>
          <w:lang w:val="en-CA" w:eastAsia="en-CA"/>
        </w:rPr>
      </w:pPr>
      <w:r w:rsidRPr="00AE4C74">
        <w:rPr>
          <w:iCs/>
          <w:noProof/>
        </w:rPr>
        <w:t>4.3</w:t>
      </w:r>
      <w:r w:rsidRPr="00AE4C74">
        <w:rPr>
          <w:rFonts w:eastAsiaTheme="minorEastAsia" w:cstheme="minorBidi"/>
          <w:b w:val="0"/>
          <w:noProof/>
          <w:lang w:val="en-CA" w:eastAsia="en-CA"/>
        </w:rPr>
        <w:tab/>
      </w:r>
      <w:r w:rsidRPr="00AE4C74">
        <w:rPr>
          <w:iCs/>
          <w:noProof/>
        </w:rPr>
        <w:t>Total 5 Year Return On Investment</w:t>
      </w:r>
      <w:r w:rsidRPr="00AE4C74">
        <w:rPr>
          <w:noProof/>
        </w:rPr>
        <w:tab/>
      </w:r>
      <w:r w:rsidRPr="00AE4C74">
        <w:rPr>
          <w:noProof/>
        </w:rPr>
        <w:fldChar w:fldCharType="begin"/>
      </w:r>
      <w:r w:rsidRPr="00AE4C74">
        <w:rPr>
          <w:noProof/>
        </w:rPr>
        <w:instrText xml:space="preserve"> PAGEREF _Toc286060930 \h </w:instrText>
      </w:r>
      <w:r w:rsidRPr="00AE4C74">
        <w:rPr>
          <w:noProof/>
        </w:rPr>
      </w:r>
      <w:r w:rsidRPr="00AE4C74">
        <w:rPr>
          <w:noProof/>
        </w:rPr>
        <w:fldChar w:fldCharType="separate"/>
      </w:r>
      <w:r w:rsidRPr="00AE4C74">
        <w:rPr>
          <w:noProof/>
        </w:rPr>
        <w:t>9</w:t>
      </w:r>
      <w:r w:rsidRPr="00AE4C74">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sidRPr="00AE4C74">
        <w:rPr>
          <w:noProof/>
          <w:lang w:val="en-CA" w:eastAsia="en-CA"/>
        </w:rPr>
        <w:t>4.4</w:t>
      </w:r>
      <w:r w:rsidRPr="00AE4C74">
        <w:rPr>
          <w:rFonts w:eastAsiaTheme="minorEastAsia" w:cstheme="minorBidi"/>
          <w:b w:val="0"/>
          <w:noProof/>
          <w:lang w:val="en-CA" w:eastAsia="en-CA"/>
        </w:rPr>
        <w:tab/>
      </w:r>
      <w:r w:rsidRPr="00AE4C74">
        <w:rPr>
          <w:noProof/>
          <w:lang w:val="en-CA" w:eastAsia="en-CA"/>
        </w:rPr>
        <w:t>Cost of N</w:t>
      </w:r>
      <w:r w:rsidRPr="00CA0BFA">
        <w:rPr>
          <w:noProof/>
          <w:lang w:val="en-CA" w:eastAsia="en-CA"/>
        </w:rPr>
        <w:t>ot Implementing common ITSM Processes and an Integrated Tool Suite</w:t>
      </w:r>
      <w:r>
        <w:rPr>
          <w:noProof/>
        </w:rPr>
        <w:tab/>
      </w:r>
      <w:r>
        <w:rPr>
          <w:noProof/>
        </w:rPr>
        <w:fldChar w:fldCharType="begin"/>
      </w:r>
      <w:r>
        <w:rPr>
          <w:noProof/>
        </w:rPr>
        <w:instrText xml:space="preserve"> PAGEREF _Toc286060931 \h </w:instrText>
      </w:r>
      <w:r>
        <w:rPr>
          <w:noProof/>
        </w:rPr>
      </w:r>
      <w:r>
        <w:rPr>
          <w:noProof/>
        </w:rPr>
        <w:fldChar w:fldCharType="separate"/>
      </w:r>
      <w:r>
        <w:rPr>
          <w:noProof/>
        </w:rPr>
        <w:t>9</w:t>
      </w:r>
      <w:r>
        <w:rPr>
          <w:noProof/>
        </w:rPr>
        <w:fldChar w:fldCharType="end"/>
      </w:r>
    </w:p>
    <w:p w:rsidR="00AE4C74" w:rsidRDefault="00AE4C74">
      <w:pPr>
        <w:pStyle w:val="TOC1"/>
        <w:tabs>
          <w:tab w:val="left" w:pos="440"/>
          <w:tab w:val="right" w:leader="dot" w:pos="9350"/>
        </w:tabs>
        <w:rPr>
          <w:rFonts w:eastAsiaTheme="minorEastAsia" w:cstheme="minorBidi"/>
          <w:b w:val="0"/>
          <w:noProof/>
          <w:sz w:val="22"/>
          <w:szCs w:val="22"/>
          <w:lang w:val="en-CA" w:eastAsia="en-CA"/>
        </w:rPr>
      </w:pPr>
      <w:r>
        <w:rPr>
          <w:noProof/>
        </w:rPr>
        <w:t>5</w:t>
      </w:r>
      <w:r>
        <w:rPr>
          <w:rFonts w:eastAsiaTheme="minorEastAsia" w:cstheme="minorBidi"/>
          <w:b w:val="0"/>
          <w:noProof/>
          <w:sz w:val="22"/>
          <w:szCs w:val="22"/>
          <w:lang w:val="en-CA" w:eastAsia="en-CA"/>
        </w:rPr>
        <w:tab/>
      </w:r>
      <w:r>
        <w:rPr>
          <w:noProof/>
        </w:rPr>
        <w:t>ITSM Roadmap Milestone Summary</w:t>
      </w:r>
      <w:r>
        <w:rPr>
          <w:noProof/>
        </w:rPr>
        <w:tab/>
      </w:r>
      <w:r>
        <w:rPr>
          <w:noProof/>
        </w:rPr>
        <w:fldChar w:fldCharType="begin"/>
      </w:r>
      <w:r>
        <w:rPr>
          <w:noProof/>
        </w:rPr>
        <w:instrText xml:space="preserve"> PAGEREF _Toc286060932 \h </w:instrText>
      </w:r>
      <w:r>
        <w:rPr>
          <w:noProof/>
        </w:rPr>
      </w:r>
      <w:r>
        <w:rPr>
          <w:noProof/>
        </w:rPr>
        <w:fldChar w:fldCharType="separate"/>
      </w:r>
      <w:r>
        <w:rPr>
          <w:noProof/>
        </w:rPr>
        <w:t>9</w:t>
      </w:r>
      <w:r>
        <w:rPr>
          <w:noProof/>
        </w:rPr>
        <w:fldChar w:fldCharType="end"/>
      </w:r>
    </w:p>
    <w:p w:rsidR="00AE4C74" w:rsidRDefault="00AE4C74">
      <w:pPr>
        <w:pStyle w:val="TOC1"/>
        <w:tabs>
          <w:tab w:val="left" w:pos="440"/>
          <w:tab w:val="right" w:leader="dot" w:pos="9350"/>
        </w:tabs>
        <w:rPr>
          <w:rFonts w:eastAsiaTheme="minorEastAsia" w:cstheme="minorBidi"/>
          <w:b w:val="0"/>
          <w:noProof/>
          <w:sz w:val="22"/>
          <w:szCs w:val="22"/>
          <w:lang w:val="en-CA" w:eastAsia="en-CA"/>
        </w:rPr>
      </w:pPr>
      <w:r>
        <w:rPr>
          <w:noProof/>
        </w:rPr>
        <w:t>6</w:t>
      </w:r>
      <w:r>
        <w:rPr>
          <w:rFonts w:eastAsiaTheme="minorEastAsia" w:cstheme="minorBidi"/>
          <w:b w:val="0"/>
          <w:noProof/>
          <w:sz w:val="22"/>
          <w:szCs w:val="22"/>
          <w:lang w:val="en-CA" w:eastAsia="en-CA"/>
        </w:rPr>
        <w:tab/>
      </w:r>
      <w:r>
        <w:rPr>
          <w:noProof/>
        </w:rPr>
        <w:t>APPENDIX A: ITSM Overview</w:t>
      </w:r>
      <w:r>
        <w:rPr>
          <w:noProof/>
        </w:rPr>
        <w:tab/>
      </w:r>
      <w:r>
        <w:rPr>
          <w:noProof/>
        </w:rPr>
        <w:fldChar w:fldCharType="begin"/>
      </w:r>
      <w:r>
        <w:rPr>
          <w:noProof/>
        </w:rPr>
        <w:instrText xml:space="preserve"> PAGEREF _Toc286060933 \h </w:instrText>
      </w:r>
      <w:r>
        <w:rPr>
          <w:noProof/>
        </w:rPr>
      </w:r>
      <w:r>
        <w:rPr>
          <w:noProof/>
        </w:rPr>
        <w:fldChar w:fldCharType="separate"/>
      </w:r>
      <w:r>
        <w:rPr>
          <w:noProof/>
        </w:rPr>
        <w:t>10</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sidRPr="00CA0BFA">
        <w:rPr>
          <w:iCs/>
          <w:noProof/>
        </w:rPr>
        <w:t>6.1</w:t>
      </w:r>
      <w:r>
        <w:rPr>
          <w:rFonts w:eastAsiaTheme="minorEastAsia" w:cstheme="minorBidi"/>
          <w:b w:val="0"/>
          <w:noProof/>
          <w:lang w:val="en-CA" w:eastAsia="en-CA"/>
        </w:rPr>
        <w:tab/>
      </w:r>
      <w:r w:rsidRPr="00CA0BFA">
        <w:rPr>
          <w:iCs/>
          <w:noProof/>
        </w:rPr>
        <w:t>IT Service Management (ITSM)</w:t>
      </w:r>
      <w:r>
        <w:rPr>
          <w:noProof/>
        </w:rPr>
        <w:tab/>
      </w:r>
      <w:r>
        <w:rPr>
          <w:noProof/>
        </w:rPr>
        <w:fldChar w:fldCharType="begin"/>
      </w:r>
      <w:r>
        <w:rPr>
          <w:noProof/>
        </w:rPr>
        <w:instrText xml:space="preserve"> PAGEREF _Toc286060934 \h </w:instrText>
      </w:r>
      <w:r>
        <w:rPr>
          <w:noProof/>
        </w:rPr>
      </w:r>
      <w:r>
        <w:rPr>
          <w:noProof/>
        </w:rPr>
        <w:fldChar w:fldCharType="separate"/>
      </w:r>
      <w:r>
        <w:rPr>
          <w:noProof/>
        </w:rPr>
        <w:t>10</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sidRPr="00CA0BFA">
        <w:rPr>
          <w:iCs/>
          <w:noProof/>
          <w:lang w:eastAsia="en-CA"/>
        </w:rPr>
        <w:t>6.2</w:t>
      </w:r>
      <w:r>
        <w:rPr>
          <w:rFonts w:eastAsiaTheme="minorEastAsia" w:cstheme="minorBidi"/>
          <w:b w:val="0"/>
          <w:noProof/>
          <w:lang w:val="en-CA" w:eastAsia="en-CA"/>
        </w:rPr>
        <w:tab/>
      </w:r>
      <w:r w:rsidRPr="00CA0BFA">
        <w:rPr>
          <w:iCs/>
          <w:noProof/>
          <w:lang w:eastAsia="en-CA"/>
        </w:rPr>
        <w:t>The Information Technology Infrastructure Library (ITIL)</w:t>
      </w:r>
      <w:r>
        <w:rPr>
          <w:noProof/>
        </w:rPr>
        <w:tab/>
      </w:r>
      <w:r>
        <w:rPr>
          <w:noProof/>
        </w:rPr>
        <w:fldChar w:fldCharType="begin"/>
      </w:r>
      <w:r>
        <w:rPr>
          <w:noProof/>
        </w:rPr>
        <w:instrText xml:space="preserve"> PAGEREF _Toc286060935 \h </w:instrText>
      </w:r>
      <w:r>
        <w:rPr>
          <w:noProof/>
        </w:rPr>
      </w:r>
      <w:r>
        <w:rPr>
          <w:noProof/>
        </w:rPr>
        <w:fldChar w:fldCharType="separate"/>
      </w:r>
      <w:r>
        <w:rPr>
          <w:noProof/>
        </w:rPr>
        <w:t>10</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sidRPr="00CA0BFA">
        <w:rPr>
          <w:iCs/>
          <w:noProof/>
        </w:rPr>
        <w:t>6.3</w:t>
      </w:r>
      <w:r>
        <w:rPr>
          <w:rFonts w:eastAsiaTheme="minorEastAsia" w:cstheme="minorBidi"/>
          <w:b w:val="0"/>
          <w:noProof/>
          <w:lang w:val="en-CA" w:eastAsia="en-CA"/>
        </w:rPr>
        <w:tab/>
      </w:r>
      <w:r w:rsidRPr="00CA0BFA">
        <w:rPr>
          <w:iCs/>
          <w:noProof/>
        </w:rPr>
        <w:t>ITSM Core principles</w:t>
      </w:r>
      <w:r>
        <w:rPr>
          <w:noProof/>
        </w:rPr>
        <w:tab/>
      </w:r>
      <w:r>
        <w:rPr>
          <w:noProof/>
        </w:rPr>
        <w:fldChar w:fldCharType="begin"/>
      </w:r>
      <w:r>
        <w:rPr>
          <w:noProof/>
        </w:rPr>
        <w:instrText xml:space="preserve"> PAGEREF _Toc286060936 \h </w:instrText>
      </w:r>
      <w:r>
        <w:rPr>
          <w:noProof/>
        </w:rPr>
      </w:r>
      <w:r>
        <w:rPr>
          <w:noProof/>
        </w:rPr>
        <w:fldChar w:fldCharType="separate"/>
      </w:r>
      <w:r>
        <w:rPr>
          <w:noProof/>
        </w:rPr>
        <w:t>10</w:t>
      </w:r>
      <w:r>
        <w:rPr>
          <w:noProof/>
        </w:rPr>
        <w:fldChar w:fldCharType="end"/>
      </w:r>
    </w:p>
    <w:p w:rsidR="00AE4C74" w:rsidRDefault="00AE4C74">
      <w:pPr>
        <w:pStyle w:val="TOC2"/>
        <w:tabs>
          <w:tab w:val="left" w:pos="960"/>
          <w:tab w:val="right" w:leader="dot" w:pos="9350"/>
        </w:tabs>
        <w:rPr>
          <w:rFonts w:eastAsiaTheme="minorEastAsia" w:cstheme="minorBidi"/>
          <w:b w:val="0"/>
          <w:noProof/>
          <w:lang w:val="en-CA" w:eastAsia="en-CA"/>
        </w:rPr>
      </w:pPr>
      <w:r w:rsidRPr="00CA0BFA">
        <w:rPr>
          <w:noProof/>
          <w:lang w:val="en-CA" w:eastAsia="en-CA"/>
        </w:rPr>
        <w:t>6.4</w:t>
      </w:r>
      <w:r>
        <w:rPr>
          <w:rFonts w:eastAsiaTheme="minorEastAsia" w:cstheme="minorBidi"/>
          <w:b w:val="0"/>
          <w:noProof/>
          <w:lang w:val="en-CA" w:eastAsia="en-CA"/>
        </w:rPr>
        <w:tab/>
      </w:r>
      <w:r w:rsidRPr="00CA0BFA">
        <w:rPr>
          <w:noProof/>
          <w:lang w:val="en-CA" w:eastAsia="en-CA"/>
        </w:rPr>
        <w:t>IT Service Management Includes</w:t>
      </w:r>
      <w:r>
        <w:rPr>
          <w:noProof/>
        </w:rPr>
        <w:tab/>
      </w:r>
      <w:r>
        <w:rPr>
          <w:noProof/>
        </w:rPr>
        <w:fldChar w:fldCharType="begin"/>
      </w:r>
      <w:r>
        <w:rPr>
          <w:noProof/>
        </w:rPr>
        <w:instrText xml:space="preserve"> PAGEREF _Toc286060937 \h </w:instrText>
      </w:r>
      <w:r>
        <w:rPr>
          <w:noProof/>
        </w:rPr>
      </w:r>
      <w:r>
        <w:rPr>
          <w:noProof/>
        </w:rPr>
        <w:fldChar w:fldCharType="separate"/>
      </w:r>
      <w:r>
        <w:rPr>
          <w:noProof/>
        </w:rPr>
        <w:t>10</w:t>
      </w:r>
      <w:r>
        <w:rPr>
          <w:noProof/>
        </w:rPr>
        <w:fldChar w:fldCharType="end"/>
      </w:r>
    </w:p>
    <w:p w:rsidR="00C06E09" w:rsidRDefault="00B40CBA" w:rsidP="00DC047A">
      <w:r>
        <w:fldChar w:fldCharType="end"/>
      </w:r>
    </w:p>
    <w:p w:rsidR="00C06E09" w:rsidRDefault="00C06E09"/>
    <w:p w:rsidR="00C06E09" w:rsidRDefault="00C06E09" w:rsidP="00DC047A">
      <w:pPr>
        <w:pStyle w:val="TOC1"/>
        <w:tabs>
          <w:tab w:val="left" w:pos="382"/>
          <w:tab w:val="right" w:leader="dot" w:pos="9350"/>
        </w:tabs>
      </w:pPr>
      <w:r>
        <w:br w:type="page"/>
      </w:r>
    </w:p>
    <w:p w:rsidR="00C06E09" w:rsidRPr="00EA7132" w:rsidRDefault="00C06E09" w:rsidP="00C06E09">
      <w:pPr>
        <w:sectPr w:rsidR="00C06E09" w:rsidRPr="00EA7132" w:rsidSect="00F836ED">
          <w:headerReference w:type="default" r:id="rId10"/>
          <w:footerReference w:type="default" r:id="rId11"/>
          <w:pgSz w:w="12240" w:h="15840"/>
          <w:pgMar w:top="1440" w:right="1440" w:bottom="1440" w:left="1440" w:header="720" w:footer="720" w:gutter="0"/>
          <w:cols w:space="720"/>
          <w:titlePg/>
          <w:docGrid w:linePitch="360"/>
        </w:sectPr>
      </w:pPr>
    </w:p>
    <w:p w:rsidR="00C06E09" w:rsidRDefault="00D41783" w:rsidP="00C06E09">
      <w:pPr>
        <w:pStyle w:val="Heading1"/>
      </w:pPr>
      <w:bookmarkStart w:id="0" w:name="_Toc286060920"/>
      <w:r>
        <w:lastRenderedPageBreak/>
        <w:t>Summary</w:t>
      </w:r>
      <w:bookmarkEnd w:id="0"/>
    </w:p>
    <w:p w:rsidR="00C06E09" w:rsidRDefault="00D41783" w:rsidP="00C06E09">
      <w:pPr>
        <w:pStyle w:val="Heading1"/>
      </w:pPr>
      <w:bookmarkStart w:id="1" w:name="_Toc286060921"/>
      <w:r>
        <w:t>Background</w:t>
      </w:r>
      <w:bookmarkEnd w:id="1"/>
      <w:r>
        <w:t xml:space="preserve"> </w:t>
      </w:r>
    </w:p>
    <w:p w:rsidR="00C06E09" w:rsidRDefault="00D41783" w:rsidP="00C06E09">
      <w:pPr>
        <w:pStyle w:val="Heading2"/>
      </w:pPr>
      <w:bookmarkStart w:id="2" w:name="_Toc286060922"/>
      <w:r>
        <w:t xml:space="preserve">Background </w:t>
      </w:r>
      <w:r w:rsidR="009163B8">
        <w:t>/ Current State</w:t>
      </w:r>
      <w:bookmarkEnd w:id="2"/>
    </w:p>
    <w:p w:rsidR="009163B8" w:rsidRDefault="00D41783" w:rsidP="009163B8">
      <w:pPr>
        <w:autoSpaceDE w:val="0"/>
        <w:autoSpaceDN w:val="0"/>
        <w:adjustRightInd w:val="0"/>
        <w:rPr>
          <w:rFonts w:cs="Arial"/>
          <w:lang w:val="en-CA" w:eastAsia="en-CA"/>
        </w:rPr>
      </w:pPr>
      <w:r w:rsidRPr="008F6BA2">
        <w:rPr>
          <w:lang w:val="en-CA" w:eastAsia="en-CA"/>
        </w:rPr>
        <w:t xml:space="preserve">Information Technology groups at UBC are organized in a decentralized model and have evolved unit-specific processes and tools for managing IT service delivery.  </w:t>
      </w:r>
      <w:r w:rsidR="009163B8">
        <w:rPr>
          <w:rFonts w:cs="Arial"/>
          <w:lang w:val="en-CA" w:eastAsia="en-CA"/>
        </w:rPr>
        <w:t>The result is inconsistent customer service to the campus’ user base due to different customer care and response standards, longer incident resolution times due to disconnected technology s</w:t>
      </w:r>
      <w:r w:rsidR="00B361CF">
        <w:rPr>
          <w:rFonts w:cs="Arial"/>
          <w:lang w:val="en-CA" w:eastAsia="en-CA"/>
        </w:rPr>
        <w:t>ystems and resolution processes and</w:t>
      </w:r>
      <w:r w:rsidR="009163B8">
        <w:rPr>
          <w:rFonts w:cs="Arial"/>
          <w:lang w:val="en-CA" w:eastAsia="en-CA"/>
        </w:rPr>
        <w:t xml:space="preserve"> increased technology and human resource costs. </w:t>
      </w:r>
      <w:r w:rsidR="00B361CF">
        <w:rPr>
          <w:rFonts w:cs="Arial"/>
          <w:lang w:val="en-CA" w:eastAsia="en-CA"/>
        </w:rPr>
        <w:t xml:space="preserve">Currently, these costs are </w:t>
      </w:r>
      <w:r w:rsidR="00892835">
        <w:rPr>
          <w:rFonts w:cs="Arial"/>
          <w:lang w:val="en-CA" w:eastAsia="en-CA"/>
        </w:rPr>
        <w:t>not uniformly measured</w:t>
      </w:r>
      <w:r w:rsidR="00B361CF">
        <w:rPr>
          <w:rFonts w:cs="Arial"/>
          <w:lang w:val="en-CA" w:eastAsia="en-CA"/>
        </w:rPr>
        <w:t xml:space="preserve"> because of the disparate processes and systems. </w:t>
      </w:r>
    </w:p>
    <w:p w:rsidR="009163B8" w:rsidRPr="009163B8" w:rsidRDefault="009163B8" w:rsidP="009163B8">
      <w:pPr>
        <w:autoSpaceDE w:val="0"/>
        <w:autoSpaceDN w:val="0"/>
        <w:adjustRightInd w:val="0"/>
        <w:rPr>
          <w:rFonts w:cs="Arial"/>
          <w:lang w:val="en-CA" w:eastAsia="en-CA"/>
        </w:rPr>
      </w:pPr>
      <w:r>
        <w:rPr>
          <w:rFonts w:cs="Arial"/>
          <w:lang w:val="en-CA" w:eastAsia="en-CA"/>
        </w:rPr>
        <w:t xml:space="preserve">It is estimated that there are 500 IT professionals on campus delivering and supporting IT services. The program initially includes 350 of those professionals in six IT groups: UBC IT, </w:t>
      </w:r>
      <w:proofErr w:type="spellStart"/>
      <w:r>
        <w:rPr>
          <w:rFonts w:cs="Arial"/>
          <w:lang w:val="en-CA" w:eastAsia="en-CA"/>
        </w:rPr>
        <w:t>MedIT</w:t>
      </w:r>
      <w:proofErr w:type="spellEnd"/>
      <w:r>
        <w:rPr>
          <w:rFonts w:cs="Arial"/>
          <w:lang w:val="en-CA" w:eastAsia="en-CA"/>
        </w:rPr>
        <w:t xml:space="preserve">, Sauder LTS, </w:t>
      </w:r>
      <w:proofErr w:type="spellStart"/>
      <w:r>
        <w:rPr>
          <w:rFonts w:cs="Arial"/>
          <w:lang w:val="en-CA" w:eastAsia="en-CA"/>
        </w:rPr>
        <w:t>Appliced</w:t>
      </w:r>
      <w:proofErr w:type="spellEnd"/>
      <w:r>
        <w:rPr>
          <w:rFonts w:cs="Arial"/>
          <w:lang w:val="en-CA" w:eastAsia="en-CA"/>
        </w:rPr>
        <w:t xml:space="preserve"> Science, CTLT and Arts ISIT. It is envisioned that the program will roll out to the entire IT Service Provider base as well as non-IT service providers. </w:t>
      </w:r>
    </w:p>
    <w:p w:rsidR="009163B8" w:rsidRDefault="009163B8" w:rsidP="009163B8">
      <w:pPr>
        <w:pStyle w:val="Heading2"/>
      </w:pPr>
      <w:bookmarkStart w:id="3" w:name="_Toc286060923"/>
      <w:r>
        <w:t>Business Drivers</w:t>
      </w:r>
      <w:bookmarkEnd w:id="3"/>
      <w:r>
        <w:t xml:space="preserve"> </w:t>
      </w:r>
    </w:p>
    <w:p w:rsidR="009163B8" w:rsidRDefault="009163B8" w:rsidP="00811C21">
      <w:pPr>
        <w:jc w:val="both"/>
        <w:rPr>
          <w:lang w:val="en-CA"/>
        </w:rPr>
      </w:pPr>
      <w:r>
        <w:rPr>
          <w:lang w:val="en-CA"/>
        </w:rPr>
        <w:t xml:space="preserve">The vision of the ITSM program is to have an </w:t>
      </w:r>
      <w:r w:rsidRPr="00C03D85">
        <w:rPr>
          <w:lang w:val="en-CA"/>
        </w:rPr>
        <w:t>established IT Service Management framework across UBC that emphasizes quality of service delivery and focuses on the</w:t>
      </w:r>
      <w:r>
        <w:rPr>
          <w:lang w:val="en-CA"/>
        </w:rPr>
        <w:t xml:space="preserve"> relationship with the customer. </w:t>
      </w:r>
      <w:r w:rsidR="00892835">
        <w:rPr>
          <w:lang w:val="en-CA"/>
        </w:rPr>
        <w:t xml:space="preserve">See Appendix A for the ITSM Overview. </w:t>
      </w:r>
      <w:r w:rsidRPr="009163B8">
        <w:rPr>
          <w:lang w:val="en-CA"/>
        </w:rPr>
        <w:t xml:space="preserve">The </w:t>
      </w:r>
      <w:r w:rsidR="00811C21">
        <w:rPr>
          <w:lang w:val="en-CA"/>
        </w:rPr>
        <w:t>Business Drivers for that vision are:</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 xml:space="preserve">Improved customer-facing IT service support and delivery to the UBC user community </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Established metrics on the effectiveness of the delivered service processes</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Integrated workflow across IT and non-IT Service Providers</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 xml:space="preserve">Integrated business continuity </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Traceability of incidents and problems from initiation to resolution</w:t>
      </w:r>
    </w:p>
    <w:p w:rsidR="00892835" w:rsidRPr="00583DCA" w:rsidRDefault="00892835" w:rsidP="001E0372">
      <w:pPr>
        <w:pStyle w:val="ListParagraph"/>
        <w:numPr>
          <w:ilvl w:val="0"/>
          <w:numId w:val="10"/>
        </w:numPr>
        <w:spacing w:after="0" w:line="240" w:lineRule="auto"/>
        <w:jc w:val="both"/>
        <w:rPr>
          <w:lang w:val="en-CA"/>
        </w:rPr>
      </w:pPr>
      <w:r w:rsidRPr="00583DCA">
        <w:rPr>
          <w:lang w:val="en-CA"/>
        </w:rPr>
        <w:t>Reduced duplication and minimized redundant costs and effort across multiple IT departments</w:t>
      </w:r>
    </w:p>
    <w:p w:rsidR="00811C21" w:rsidRPr="00583DCA" w:rsidRDefault="00892835" w:rsidP="001E0372">
      <w:pPr>
        <w:pStyle w:val="ListParagraph"/>
        <w:numPr>
          <w:ilvl w:val="0"/>
          <w:numId w:val="10"/>
        </w:numPr>
        <w:spacing w:after="0" w:line="240" w:lineRule="auto"/>
        <w:jc w:val="both"/>
        <w:rPr>
          <w:lang w:val="en-CA"/>
        </w:rPr>
      </w:pPr>
      <w:r w:rsidRPr="00583DCA">
        <w:rPr>
          <w:lang w:val="en-CA"/>
        </w:rPr>
        <w:t>Efficient and effective sharing of resources (people &amp; financial) across multiple IT departments</w:t>
      </w:r>
    </w:p>
    <w:p w:rsidR="009163B8" w:rsidRPr="007B6A63" w:rsidRDefault="009163B8" w:rsidP="009163B8">
      <w:pPr>
        <w:spacing w:after="0" w:line="240" w:lineRule="auto"/>
        <w:ind w:left="1458"/>
        <w:jc w:val="both"/>
        <w:rPr>
          <w:lang w:val="en-CA"/>
        </w:rPr>
      </w:pPr>
    </w:p>
    <w:p w:rsidR="009163B8" w:rsidRDefault="009163B8" w:rsidP="009163B8">
      <w:pPr>
        <w:pStyle w:val="Heading2"/>
      </w:pPr>
      <w:bookmarkStart w:id="4" w:name="_Toc286060924"/>
      <w:r>
        <w:t>Technology Drivers</w:t>
      </w:r>
      <w:bookmarkEnd w:id="4"/>
      <w:r>
        <w:t xml:space="preserve"> </w:t>
      </w:r>
    </w:p>
    <w:p w:rsidR="009163B8" w:rsidRPr="009163B8" w:rsidRDefault="009163B8" w:rsidP="001E0372">
      <w:pPr>
        <w:numPr>
          <w:ilvl w:val="0"/>
          <w:numId w:val="11"/>
        </w:numPr>
        <w:spacing w:after="0" w:line="240" w:lineRule="auto"/>
      </w:pPr>
      <w:r w:rsidRPr="009163B8">
        <w:t>Integrated workflow across IT Service Providers;</w:t>
      </w:r>
    </w:p>
    <w:p w:rsidR="009163B8" w:rsidRPr="009163B8" w:rsidRDefault="00282958" w:rsidP="001E0372">
      <w:pPr>
        <w:numPr>
          <w:ilvl w:val="0"/>
          <w:numId w:val="11"/>
        </w:numPr>
        <w:spacing w:after="0" w:line="240" w:lineRule="auto"/>
      </w:pPr>
      <w:r w:rsidRPr="009163B8">
        <w:t>Seamless</w:t>
      </w:r>
      <w:r w:rsidR="009163B8" w:rsidRPr="009163B8">
        <w:t xml:space="preserve"> integration and information exchange with other UBC systems across campus;</w:t>
      </w:r>
    </w:p>
    <w:p w:rsidR="009163B8" w:rsidRPr="009163B8" w:rsidRDefault="009163B8" w:rsidP="001E0372">
      <w:pPr>
        <w:numPr>
          <w:ilvl w:val="0"/>
          <w:numId w:val="11"/>
        </w:numPr>
        <w:spacing w:after="0" w:line="240" w:lineRule="auto"/>
      </w:pPr>
      <w:r w:rsidRPr="009163B8">
        <w:t xml:space="preserve">Visible, integrated, reportable data; </w:t>
      </w:r>
    </w:p>
    <w:p w:rsidR="009163B8" w:rsidRPr="009163B8" w:rsidRDefault="009163B8" w:rsidP="001E0372">
      <w:pPr>
        <w:numPr>
          <w:ilvl w:val="0"/>
          <w:numId w:val="11"/>
        </w:numPr>
        <w:spacing w:after="0" w:line="240" w:lineRule="auto"/>
      </w:pPr>
      <w:r w:rsidRPr="009163B8">
        <w:t>Automated and accessible (self-service function, information sharing and broadcasting) service delivery &amp; support</w:t>
      </w:r>
    </w:p>
    <w:p w:rsidR="00282958" w:rsidRDefault="00282958" w:rsidP="00282958">
      <w:pPr>
        <w:spacing w:after="0" w:line="240" w:lineRule="auto"/>
        <w:ind w:left="720"/>
      </w:pPr>
    </w:p>
    <w:p w:rsidR="009163B8" w:rsidRPr="009163B8" w:rsidRDefault="009163B8" w:rsidP="00282958">
      <w:pPr>
        <w:spacing w:after="0" w:line="240" w:lineRule="auto"/>
        <w:ind w:left="360"/>
      </w:pPr>
      <w:r w:rsidRPr="009163B8">
        <w:t>Technology needed to overcome current ITSM toolset challenges / issues include:</w:t>
      </w:r>
    </w:p>
    <w:p w:rsidR="009163B8" w:rsidRPr="009163B8" w:rsidRDefault="009163B8" w:rsidP="001E0372">
      <w:pPr>
        <w:numPr>
          <w:ilvl w:val="1"/>
          <w:numId w:val="1"/>
        </w:numPr>
        <w:spacing w:after="0" w:line="240" w:lineRule="auto"/>
      </w:pPr>
      <w:r w:rsidRPr="009163B8">
        <w:t>Identity and Access Management (IAM)</w:t>
      </w:r>
    </w:p>
    <w:p w:rsidR="009163B8" w:rsidRPr="009163B8" w:rsidRDefault="009163B8" w:rsidP="001E0372">
      <w:pPr>
        <w:numPr>
          <w:ilvl w:val="1"/>
          <w:numId w:val="1"/>
        </w:numPr>
        <w:spacing w:after="0" w:line="240" w:lineRule="auto"/>
      </w:pPr>
      <w:r w:rsidRPr="009163B8">
        <w:t>Documented Enterprise Strategy and/or Architecture</w:t>
      </w:r>
    </w:p>
    <w:p w:rsidR="009163B8" w:rsidRPr="009163B8" w:rsidRDefault="009163B8" w:rsidP="001E0372">
      <w:pPr>
        <w:numPr>
          <w:ilvl w:val="1"/>
          <w:numId w:val="1"/>
        </w:numPr>
        <w:spacing w:after="0" w:line="240" w:lineRule="auto"/>
      </w:pPr>
      <w:r w:rsidRPr="009163B8">
        <w:t>Enterprise Data Model – true source of data</w:t>
      </w:r>
    </w:p>
    <w:p w:rsidR="0094025E" w:rsidRPr="007A2B8E" w:rsidRDefault="0094025E" w:rsidP="009163B8">
      <w:pPr>
        <w:spacing w:after="0" w:line="240" w:lineRule="auto"/>
        <w:ind w:left="1080"/>
      </w:pPr>
    </w:p>
    <w:p w:rsidR="00C06E09" w:rsidRDefault="009163B8" w:rsidP="00AE4C74">
      <w:pPr>
        <w:pStyle w:val="Heading1"/>
      </w:pPr>
      <w:bookmarkStart w:id="5" w:name="_Toc286060925"/>
      <w:r>
        <w:lastRenderedPageBreak/>
        <w:t>Expected Measurable Benefits</w:t>
      </w:r>
      <w:bookmarkEnd w:id="5"/>
    </w:p>
    <w:p w:rsidR="009163B8" w:rsidRDefault="009163B8" w:rsidP="009163B8">
      <w:r>
        <w:t>Implementing a common framework to manage and support services across campus and implement</w:t>
      </w:r>
      <w:r w:rsidR="00E4604A">
        <w:t>ing a</w:t>
      </w:r>
      <w:r>
        <w:t xml:space="preserve"> </w:t>
      </w:r>
      <w:r w:rsidR="004263B6">
        <w:t xml:space="preserve">robust and user-friendly </w:t>
      </w:r>
      <w:r>
        <w:t xml:space="preserve">enterprise </w:t>
      </w:r>
      <w:r w:rsidR="004263B6">
        <w:t>ITSM tool suite to support those processes</w:t>
      </w:r>
      <w:r>
        <w:t xml:space="preserve"> has measurable benefits:</w:t>
      </w:r>
    </w:p>
    <w:p w:rsidR="009163B8" w:rsidRPr="005B64E6" w:rsidRDefault="005B64E6" w:rsidP="001E0372">
      <w:pPr>
        <w:pStyle w:val="ListParagraph"/>
        <w:numPr>
          <w:ilvl w:val="0"/>
          <w:numId w:val="8"/>
        </w:numPr>
        <w:rPr>
          <w:rStyle w:val="SubtleReference"/>
        </w:rPr>
      </w:pPr>
      <w:r w:rsidRPr="005B64E6">
        <w:rPr>
          <w:rStyle w:val="SubtleReference"/>
        </w:rPr>
        <w:t xml:space="preserve">Framework </w:t>
      </w:r>
      <w:r w:rsidR="009163B8" w:rsidRPr="005B64E6">
        <w:rPr>
          <w:rStyle w:val="SubtleReference"/>
        </w:rPr>
        <w:t xml:space="preserve">Adoption and Compliance </w:t>
      </w:r>
    </w:p>
    <w:p w:rsidR="009163B8" w:rsidRDefault="009163B8" w:rsidP="001E0372">
      <w:pPr>
        <w:pStyle w:val="ListParagraph"/>
        <w:numPr>
          <w:ilvl w:val="0"/>
          <w:numId w:val="5"/>
        </w:numPr>
      </w:pPr>
      <w:r>
        <w:t># increase in number of tickets created (for an initial roll-out period)</w:t>
      </w:r>
    </w:p>
    <w:p w:rsidR="009163B8" w:rsidRDefault="009163B8" w:rsidP="001E0372">
      <w:pPr>
        <w:pStyle w:val="ListParagraph"/>
        <w:numPr>
          <w:ilvl w:val="0"/>
          <w:numId w:val="5"/>
        </w:numPr>
      </w:pPr>
      <w:r>
        <w:t xml:space="preserve"># decrease in number of issues by-passing service desk </w:t>
      </w:r>
    </w:p>
    <w:p w:rsidR="009163B8" w:rsidRDefault="009163B8" w:rsidP="001E0372">
      <w:pPr>
        <w:pStyle w:val="ListParagraph"/>
        <w:numPr>
          <w:ilvl w:val="1"/>
          <w:numId w:val="5"/>
        </w:numPr>
        <w:spacing w:after="0" w:line="240" w:lineRule="auto"/>
      </w:pPr>
      <w:r>
        <w:t>#</w:t>
      </w:r>
      <w:r w:rsidR="004263B6">
        <w:t xml:space="preserve"> decrease</w:t>
      </w:r>
      <w:r>
        <w:t xml:space="preserve"> of tickets logged at tier 2/3</w:t>
      </w:r>
    </w:p>
    <w:p w:rsidR="009163B8" w:rsidRDefault="009163B8" w:rsidP="001E0372">
      <w:pPr>
        <w:pStyle w:val="ListParagraph"/>
        <w:numPr>
          <w:ilvl w:val="1"/>
          <w:numId w:val="5"/>
        </w:numPr>
        <w:spacing w:after="0" w:line="240" w:lineRule="auto"/>
      </w:pPr>
      <w:r>
        <w:t>#</w:t>
      </w:r>
      <w:r w:rsidR="004263B6">
        <w:t xml:space="preserve"> increase</w:t>
      </w:r>
      <w:r>
        <w:t xml:space="preserve"> </w:t>
      </w:r>
      <w:r w:rsidR="004263B6">
        <w:t>of tickets logged at tier (SD)</w:t>
      </w:r>
    </w:p>
    <w:p w:rsidR="00282958" w:rsidRDefault="00282958" w:rsidP="009163B8">
      <w:pPr>
        <w:pStyle w:val="ListParagraph"/>
        <w:ind w:left="360"/>
      </w:pPr>
    </w:p>
    <w:p w:rsidR="009163B8" w:rsidRPr="005B64E6" w:rsidRDefault="00282958" w:rsidP="009163B8">
      <w:pPr>
        <w:pStyle w:val="ListParagraph"/>
        <w:ind w:left="360"/>
        <w:rPr>
          <w:rStyle w:val="SubtleEmphasis"/>
        </w:rPr>
      </w:pPr>
      <w:r w:rsidRPr="005B64E6">
        <w:rPr>
          <w:rStyle w:val="SubtleEmphasis"/>
        </w:rPr>
        <w:t>Supports the following business and technology drivers:</w:t>
      </w:r>
    </w:p>
    <w:p w:rsidR="00282958" w:rsidRPr="00583DCA" w:rsidRDefault="00282958"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B85275" w:rsidRPr="00583DCA" w:rsidRDefault="00B85275"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B85275" w:rsidRPr="00583DCA" w:rsidRDefault="00B85275"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p>
    <w:p w:rsidR="00282958" w:rsidRDefault="00282958" w:rsidP="009163B8">
      <w:pPr>
        <w:pStyle w:val="ListParagraph"/>
        <w:ind w:left="360"/>
      </w:pPr>
    </w:p>
    <w:p w:rsidR="005B64E6" w:rsidRDefault="005B64E6" w:rsidP="001E0372">
      <w:pPr>
        <w:pStyle w:val="ListParagraph"/>
        <w:numPr>
          <w:ilvl w:val="0"/>
          <w:numId w:val="8"/>
        </w:numPr>
        <w:rPr>
          <w:rStyle w:val="SubtleReference"/>
        </w:rPr>
      </w:pPr>
      <w:r>
        <w:rPr>
          <w:rStyle w:val="SubtleReference"/>
        </w:rPr>
        <w:t>tool suite adoption and compliance</w:t>
      </w:r>
    </w:p>
    <w:p w:rsidR="005B64E6" w:rsidRDefault="005B64E6" w:rsidP="001E0372">
      <w:pPr>
        <w:pStyle w:val="ListParagraph"/>
        <w:numPr>
          <w:ilvl w:val="0"/>
          <w:numId w:val="5"/>
        </w:numPr>
      </w:pPr>
      <w:r>
        <w:t># increase in number of tickets created (for an initial roll-out period)</w:t>
      </w:r>
    </w:p>
    <w:p w:rsidR="005B64E6" w:rsidRDefault="005B64E6" w:rsidP="001E0372">
      <w:pPr>
        <w:pStyle w:val="ListParagraph"/>
        <w:numPr>
          <w:ilvl w:val="0"/>
          <w:numId w:val="5"/>
        </w:numPr>
      </w:pPr>
      <w:r>
        <w:t xml:space="preserve"># decrease in number of issues by-passing service desk </w:t>
      </w:r>
    </w:p>
    <w:p w:rsidR="005B64E6" w:rsidRDefault="005B64E6" w:rsidP="001E0372">
      <w:pPr>
        <w:pStyle w:val="ListParagraph"/>
        <w:numPr>
          <w:ilvl w:val="1"/>
          <w:numId w:val="5"/>
        </w:numPr>
        <w:spacing w:after="0" w:line="240" w:lineRule="auto"/>
      </w:pPr>
      <w:r>
        <w:t># decrease of tickets logged at tier 2/3</w:t>
      </w:r>
    </w:p>
    <w:p w:rsidR="005B64E6" w:rsidRDefault="005B64E6" w:rsidP="001E0372">
      <w:pPr>
        <w:pStyle w:val="ListParagraph"/>
        <w:numPr>
          <w:ilvl w:val="1"/>
          <w:numId w:val="5"/>
        </w:numPr>
        <w:spacing w:after="0" w:line="240" w:lineRule="auto"/>
      </w:pPr>
      <w:r>
        <w:t># increase of tickets logged at tier (SD)</w:t>
      </w:r>
    </w:p>
    <w:p w:rsidR="005B64E6" w:rsidRDefault="005B64E6" w:rsidP="001E0372">
      <w:pPr>
        <w:pStyle w:val="ListParagraph"/>
        <w:numPr>
          <w:ilvl w:val="0"/>
          <w:numId w:val="5"/>
        </w:numPr>
        <w:spacing w:after="0" w:line="240" w:lineRule="auto"/>
      </w:pPr>
      <w:r>
        <w:t># increased with a completed ticket (priority, category, assignment)</w:t>
      </w:r>
    </w:p>
    <w:p w:rsidR="005B64E6" w:rsidRDefault="005B64E6" w:rsidP="001E0372">
      <w:pPr>
        <w:pStyle w:val="ListParagraph"/>
        <w:numPr>
          <w:ilvl w:val="0"/>
          <w:numId w:val="5"/>
        </w:numPr>
        <w:spacing w:after="0" w:line="240" w:lineRule="auto"/>
      </w:pPr>
      <w:r>
        <w:t>% greater increase in service consistency, customer satisfaction, inter-group communication and process efficiencies as per below</w:t>
      </w:r>
    </w:p>
    <w:p w:rsidR="005B64E6" w:rsidRDefault="005B64E6" w:rsidP="005B64E6">
      <w:pPr>
        <w:pStyle w:val="ListParagraph"/>
        <w:rPr>
          <w:u w:val="single"/>
        </w:rPr>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Integrated workflow across IT and non-IT Service Providers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Integrated business continuity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Traceability of incidents and problems from initiation to resolution</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p>
    <w:p w:rsidR="005B64E6" w:rsidRPr="009163B8" w:rsidRDefault="005B64E6" w:rsidP="001E0372">
      <w:pPr>
        <w:numPr>
          <w:ilvl w:val="0"/>
          <w:numId w:val="12"/>
        </w:numPr>
        <w:spacing w:after="0" w:line="240" w:lineRule="auto"/>
      </w:pPr>
      <w:r w:rsidRPr="009163B8">
        <w:t>Seamless integration and information exchange with other UBC systems across campus;</w:t>
      </w:r>
    </w:p>
    <w:p w:rsidR="005B64E6" w:rsidRPr="009163B8" w:rsidRDefault="005B64E6" w:rsidP="001E0372">
      <w:pPr>
        <w:numPr>
          <w:ilvl w:val="0"/>
          <w:numId w:val="12"/>
        </w:numPr>
        <w:spacing w:after="0" w:line="240" w:lineRule="auto"/>
      </w:pPr>
      <w:r w:rsidRPr="009163B8">
        <w:t>Visible, integrated, reportable</w:t>
      </w:r>
      <w:r w:rsidR="00B85275">
        <w:t xml:space="preserve"> data </w:t>
      </w:r>
      <w:r w:rsidR="00B85275" w:rsidRPr="00B85275">
        <w:rPr>
          <w:rStyle w:val="SubtleEmphasis"/>
        </w:rPr>
        <w:t>(with tool suite)</w:t>
      </w:r>
    </w:p>
    <w:p w:rsidR="005B64E6" w:rsidRPr="009163B8" w:rsidRDefault="005B64E6" w:rsidP="001E0372">
      <w:pPr>
        <w:numPr>
          <w:ilvl w:val="0"/>
          <w:numId w:val="12"/>
        </w:numPr>
        <w:spacing w:after="0" w:line="240" w:lineRule="auto"/>
      </w:pPr>
      <w:r w:rsidRPr="009163B8">
        <w:t>Automated and accessible (self-service function, information sharing and broadcasting) service delivery &amp; support</w:t>
      </w:r>
    </w:p>
    <w:p w:rsidR="005B64E6" w:rsidRDefault="005B64E6" w:rsidP="003971DC">
      <w:pPr>
        <w:rPr>
          <w:rStyle w:val="SubtleReference"/>
        </w:rPr>
      </w:pPr>
    </w:p>
    <w:p w:rsidR="009163B8" w:rsidRPr="005B64E6" w:rsidRDefault="009163B8" w:rsidP="001E0372">
      <w:pPr>
        <w:pStyle w:val="ListParagraph"/>
        <w:numPr>
          <w:ilvl w:val="0"/>
          <w:numId w:val="8"/>
        </w:numPr>
        <w:rPr>
          <w:rStyle w:val="SubtleReference"/>
        </w:rPr>
      </w:pPr>
      <w:r w:rsidRPr="005B64E6">
        <w:rPr>
          <w:rStyle w:val="SubtleReference"/>
        </w:rPr>
        <w:t>Service</w:t>
      </w:r>
      <w:r w:rsidR="00090374" w:rsidRPr="005B64E6">
        <w:rPr>
          <w:rStyle w:val="SubtleReference"/>
        </w:rPr>
        <w:t xml:space="preserve"> </w:t>
      </w:r>
      <w:r w:rsidRPr="005B64E6">
        <w:rPr>
          <w:rStyle w:val="SubtleReference"/>
        </w:rPr>
        <w:t xml:space="preserve">Consistency </w:t>
      </w:r>
    </w:p>
    <w:p w:rsidR="004263B6" w:rsidRDefault="004263B6" w:rsidP="001E0372">
      <w:pPr>
        <w:pStyle w:val="ListParagraph"/>
        <w:numPr>
          <w:ilvl w:val="0"/>
          <w:numId w:val="7"/>
        </w:numPr>
        <w:spacing w:after="0" w:line="240" w:lineRule="auto"/>
      </w:pPr>
      <w:r>
        <w:t>% increase in framework and tool suite adoption and compliance (as per above)</w:t>
      </w:r>
    </w:p>
    <w:p w:rsidR="00DB0F35" w:rsidRDefault="00DB0F35" w:rsidP="001E0372">
      <w:pPr>
        <w:pStyle w:val="ListParagraph"/>
        <w:numPr>
          <w:ilvl w:val="0"/>
          <w:numId w:val="7"/>
        </w:numPr>
        <w:spacing w:after="0" w:line="240" w:lineRule="auto"/>
      </w:pPr>
      <w:r>
        <w:t># increase for staff trained on relevant components of ITIL</w:t>
      </w:r>
      <w:r w:rsidR="00B361CF">
        <w:t xml:space="preserve"> (common nomenclature)</w:t>
      </w:r>
    </w:p>
    <w:p w:rsidR="003971DC" w:rsidRDefault="003971DC" w:rsidP="001E0372">
      <w:pPr>
        <w:pStyle w:val="ListParagraph"/>
        <w:numPr>
          <w:ilvl w:val="0"/>
          <w:numId w:val="7"/>
        </w:numPr>
        <w:spacing w:after="0" w:line="240" w:lineRule="auto"/>
      </w:pPr>
      <w:r>
        <w:t xml:space="preserve"># </w:t>
      </w:r>
      <w:r w:rsidR="00DB0F35">
        <w:t xml:space="preserve">increase for </w:t>
      </w:r>
      <w:r>
        <w:t>IT groups on campus with completed Service Catalogue (same framework)</w:t>
      </w:r>
    </w:p>
    <w:p w:rsidR="009163B8" w:rsidRDefault="009163B8" w:rsidP="001E0372">
      <w:pPr>
        <w:pStyle w:val="ListParagraph"/>
        <w:numPr>
          <w:ilvl w:val="0"/>
          <w:numId w:val="7"/>
        </w:numPr>
        <w:spacing w:after="0" w:line="240" w:lineRule="auto"/>
      </w:pPr>
      <w:r>
        <w:t>% decrease in number of incidents miss or re-prioritized</w:t>
      </w:r>
    </w:p>
    <w:p w:rsidR="009163B8" w:rsidRDefault="009163B8" w:rsidP="001E0372">
      <w:pPr>
        <w:pStyle w:val="ListParagraph"/>
        <w:numPr>
          <w:ilvl w:val="0"/>
          <w:numId w:val="7"/>
        </w:numPr>
        <w:spacing w:after="0" w:line="240" w:lineRule="auto"/>
      </w:pPr>
      <w:r>
        <w:t xml:space="preserve">% decrease in number of incidents miss or re -categorized </w:t>
      </w:r>
    </w:p>
    <w:p w:rsidR="009163B8" w:rsidRDefault="009163B8" w:rsidP="001E0372">
      <w:pPr>
        <w:pStyle w:val="ListParagraph"/>
        <w:numPr>
          <w:ilvl w:val="0"/>
          <w:numId w:val="7"/>
        </w:numPr>
        <w:spacing w:after="0" w:line="240" w:lineRule="auto"/>
      </w:pPr>
      <w:r>
        <w:t xml:space="preserve">% decrease in number of incidents miss or </w:t>
      </w:r>
      <w:r w:rsidRPr="0096710B">
        <w:t xml:space="preserve">re-assigned </w:t>
      </w:r>
    </w:p>
    <w:p w:rsidR="009163B8" w:rsidRPr="0096710B" w:rsidRDefault="009163B8" w:rsidP="001E0372">
      <w:pPr>
        <w:pStyle w:val="ListParagraph"/>
        <w:numPr>
          <w:ilvl w:val="0"/>
          <w:numId w:val="7"/>
        </w:numPr>
      </w:pPr>
      <w:r>
        <w:lastRenderedPageBreak/>
        <w:t>% increase with compliance of standard priority matrix and SLAs for expected time respond &amp; resolve</w:t>
      </w:r>
    </w:p>
    <w:p w:rsidR="009163B8" w:rsidRDefault="009163B8" w:rsidP="009163B8">
      <w:pPr>
        <w:pStyle w:val="ListParagraph"/>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Integrated workflow across IT and non-IT Service Providers</w:t>
      </w:r>
      <w:r w:rsidR="00B85275">
        <w:rPr>
          <w:lang w:val="en-CA"/>
        </w:rPr>
        <w:t xml:space="preserve"> </w:t>
      </w:r>
      <w:r w:rsidR="00B85275" w:rsidRPr="00B85275">
        <w:rPr>
          <w:rStyle w:val="SubtleEmphasis"/>
        </w:rPr>
        <w:t>(with tool suite)</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Integrated business continuity </w:t>
      </w:r>
      <w:r w:rsidR="00B85275" w:rsidRPr="00B85275">
        <w:rPr>
          <w:rStyle w:val="SubtleEmphasis"/>
        </w:rPr>
        <w:t>(with tool suite)</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Traceability of incidents and problems from initiation to resolution</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r w:rsidR="00B85275">
        <w:rPr>
          <w:lang w:val="en-CA"/>
        </w:rPr>
        <w:t xml:space="preserve"> </w:t>
      </w:r>
      <w:r w:rsidR="00B85275" w:rsidRPr="00B85275">
        <w:rPr>
          <w:rStyle w:val="SubtleEmphasis"/>
        </w:rPr>
        <w:t>(with tool suite)</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r w:rsidR="00B85275">
        <w:rPr>
          <w:lang w:val="en-CA"/>
        </w:rPr>
        <w:t xml:space="preserve"> </w:t>
      </w:r>
      <w:r w:rsidR="00B85275" w:rsidRPr="00B85275">
        <w:rPr>
          <w:rStyle w:val="SubtleEmphasis"/>
        </w:rPr>
        <w:t>(with tool suite)</w:t>
      </w:r>
    </w:p>
    <w:p w:rsidR="005B64E6" w:rsidRPr="009163B8" w:rsidRDefault="005B64E6" w:rsidP="001E0372">
      <w:pPr>
        <w:numPr>
          <w:ilvl w:val="0"/>
          <w:numId w:val="12"/>
        </w:numPr>
        <w:spacing w:after="0" w:line="240" w:lineRule="auto"/>
      </w:pPr>
      <w:r w:rsidRPr="009163B8">
        <w:t xml:space="preserve">Seamless integration and information exchange with </w:t>
      </w:r>
      <w:r>
        <w:t>other UBC systems across campus</w:t>
      </w:r>
      <w:r w:rsidR="00B85275">
        <w:t xml:space="preserve"> </w:t>
      </w:r>
      <w:r w:rsidR="00B85275" w:rsidRPr="00B85275">
        <w:rPr>
          <w:rStyle w:val="SubtleEmphasis"/>
        </w:rPr>
        <w:t>(with tool suite)</w:t>
      </w:r>
    </w:p>
    <w:p w:rsidR="005B64E6" w:rsidRDefault="005B64E6" w:rsidP="001E0372">
      <w:pPr>
        <w:numPr>
          <w:ilvl w:val="0"/>
          <w:numId w:val="12"/>
        </w:numPr>
        <w:spacing w:after="0" w:line="240" w:lineRule="auto"/>
      </w:pPr>
      <w:r w:rsidRPr="009163B8">
        <w:t>Visible, integrated, reportable</w:t>
      </w:r>
      <w:r>
        <w:t xml:space="preserve"> data</w:t>
      </w:r>
      <w:r w:rsidR="00B85275">
        <w:t xml:space="preserve"> </w:t>
      </w:r>
      <w:r w:rsidR="00B85275" w:rsidRPr="00B85275">
        <w:rPr>
          <w:rStyle w:val="SubtleEmphasis"/>
        </w:rPr>
        <w:t>(with tool suite)</w:t>
      </w:r>
    </w:p>
    <w:p w:rsidR="005B64E6" w:rsidRDefault="005B64E6" w:rsidP="009163B8">
      <w:pPr>
        <w:pStyle w:val="ListParagraph"/>
      </w:pPr>
    </w:p>
    <w:p w:rsidR="009163B8" w:rsidRPr="005B64E6" w:rsidRDefault="009163B8" w:rsidP="001E0372">
      <w:pPr>
        <w:pStyle w:val="ListParagraph"/>
        <w:numPr>
          <w:ilvl w:val="0"/>
          <w:numId w:val="8"/>
        </w:numPr>
        <w:rPr>
          <w:rStyle w:val="SubtleReference"/>
        </w:rPr>
      </w:pPr>
      <w:r w:rsidRPr="005B64E6">
        <w:rPr>
          <w:rStyle w:val="SubtleReference"/>
        </w:rPr>
        <w:t xml:space="preserve">Positive Customer Experience </w:t>
      </w:r>
    </w:p>
    <w:p w:rsidR="009163B8" w:rsidRDefault="00E4604A" w:rsidP="001E0372">
      <w:pPr>
        <w:pStyle w:val="ListParagraph"/>
        <w:numPr>
          <w:ilvl w:val="0"/>
          <w:numId w:val="6"/>
        </w:numPr>
      </w:pPr>
      <w:r>
        <w:t xml:space="preserve">Improved scores on </w:t>
      </w:r>
      <w:r w:rsidR="009163B8">
        <w:t>Customer satisfaction survey</w:t>
      </w:r>
      <w:r w:rsidR="004263B6">
        <w:t xml:space="preserve"> </w:t>
      </w:r>
    </w:p>
    <w:p w:rsidR="009163B8" w:rsidRDefault="009163B8" w:rsidP="001E0372">
      <w:pPr>
        <w:pStyle w:val="ListParagraph"/>
        <w:numPr>
          <w:ilvl w:val="0"/>
          <w:numId w:val="6"/>
        </w:numPr>
      </w:pPr>
      <w:r>
        <w:t># increase in number of tickets created (for an initial roll-out period</w:t>
      </w:r>
      <w:r w:rsidR="004263B6">
        <w:t xml:space="preserve"> </w:t>
      </w:r>
      <w:r w:rsidR="00E4604A">
        <w:t>may show</w:t>
      </w:r>
      <w:r w:rsidR="004263B6">
        <w:t xml:space="preserve"> increasing confidence</w:t>
      </w:r>
      <w:r>
        <w:t>)</w:t>
      </w:r>
    </w:p>
    <w:p w:rsidR="003971DC" w:rsidRDefault="003971DC" w:rsidP="001E0372">
      <w:pPr>
        <w:pStyle w:val="ListParagraph"/>
        <w:numPr>
          <w:ilvl w:val="0"/>
          <w:numId w:val="6"/>
        </w:numPr>
      </w:pPr>
      <w:r>
        <w:t># decrease in tier one single points of contact for each group</w:t>
      </w:r>
    </w:p>
    <w:p w:rsidR="003971DC" w:rsidRDefault="003971DC" w:rsidP="001E0372">
      <w:pPr>
        <w:pStyle w:val="ListParagraph"/>
        <w:numPr>
          <w:ilvl w:val="0"/>
          <w:numId w:val="6"/>
        </w:numPr>
      </w:pPr>
      <w:r>
        <w:t>% increase in number of Services with identified Service owners/managers</w:t>
      </w:r>
    </w:p>
    <w:p w:rsidR="00B85275" w:rsidRDefault="00B85275" w:rsidP="001E0372">
      <w:pPr>
        <w:pStyle w:val="ListParagraph"/>
        <w:numPr>
          <w:ilvl w:val="0"/>
          <w:numId w:val="6"/>
        </w:numPr>
      </w:pPr>
      <w:r>
        <w:t xml:space="preserve"># decrease in service information requests at the Service Desk </w:t>
      </w:r>
      <w:r w:rsidRPr="00B85275">
        <w:rPr>
          <w:rStyle w:val="SubtleEmphasis"/>
        </w:rPr>
        <w:t>(with tool suite)</w:t>
      </w:r>
    </w:p>
    <w:p w:rsidR="00B85275" w:rsidRDefault="00B85275" w:rsidP="001E0372">
      <w:pPr>
        <w:pStyle w:val="ListParagraph"/>
        <w:numPr>
          <w:ilvl w:val="0"/>
          <w:numId w:val="6"/>
        </w:numPr>
      </w:pPr>
      <w:r>
        <w:t xml:space="preserve"># decrease in manual service provisioning requests at the Service Desk </w:t>
      </w:r>
      <w:r w:rsidRPr="00B85275">
        <w:rPr>
          <w:rStyle w:val="SubtleEmphasis"/>
        </w:rPr>
        <w:t>(with tool suite)</w:t>
      </w:r>
    </w:p>
    <w:p w:rsidR="009163B8" w:rsidRDefault="009163B8" w:rsidP="009163B8">
      <w:pPr>
        <w:pStyle w:val="ListParagraph"/>
        <w:ind w:left="1080"/>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Integrated workflow across IT and non-IT Service Providers</w:t>
      </w:r>
      <w:r w:rsidR="00B85275">
        <w:rPr>
          <w:lang w:val="en-CA"/>
        </w:rPr>
        <w:t xml:space="preserve"> </w:t>
      </w:r>
      <w:r w:rsidR="00B85275" w:rsidRPr="00B85275">
        <w:rPr>
          <w:rStyle w:val="SubtleEmphasis"/>
        </w:rPr>
        <w:t>(with tool suite)</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Traceability of incidents and problems from initiation to resolution</w:t>
      </w:r>
      <w:r w:rsidR="00B85275">
        <w:rPr>
          <w:lang w:val="en-CA"/>
        </w:rPr>
        <w:t xml:space="preserve"> </w:t>
      </w:r>
      <w:r w:rsidR="00B85275" w:rsidRPr="00B85275">
        <w:rPr>
          <w:rStyle w:val="SubtleEmphasis"/>
        </w:rPr>
        <w:t>(with tool suite)</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r w:rsidR="00B85275">
        <w:rPr>
          <w:lang w:val="en-CA"/>
        </w:rPr>
        <w:t xml:space="preserve"> </w:t>
      </w:r>
      <w:r w:rsidR="00B85275" w:rsidRPr="00B85275">
        <w:rPr>
          <w:rStyle w:val="SubtleEmphasis"/>
        </w:rPr>
        <w:t>(with tool suite)</w:t>
      </w:r>
    </w:p>
    <w:p w:rsidR="005B64E6" w:rsidRPr="009163B8" w:rsidRDefault="005B64E6" w:rsidP="001E0372">
      <w:pPr>
        <w:numPr>
          <w:ilvl w:val="0"/>
          <w:numId w:val="12"/>
        </w:numPr>
        <w:spacing w:after="0" w:line="240" w:lineRule="auto"/>
      </w:pPr>
      <w:r w:rsidRPr="009163B8">
        <w:t xml:space="preserve">Seamless integration and information exchange with </w:t>
      </w:r>
      <w:r w:rsidR="00B85275">
        <w:t xml:space="preserve">other UBC systems across campus </w:t>
      </w:r>
      <w:r w:rsidR="00B85275" w:rsidRPr="00B85275">
        <w:rPr>
          <w:rStyle w:val="SubtleEmphasis"/>
        </w:rPr>
        <w:t>(with tool suite)</w:t>
      </w:r>
    </w:p>
    <w:p w:rsidR="005B64E6" w:rsidRPr="009163B8" w:rsidRDefault="005B64E6" w:rsidP="001E0372">
      <w:pPr>
        <w:numPr>
          <w:ilvl w:val="0"/>
          <w:numId w:val="12"/>
        </w:numPr>
        <w:spacing w:after="0" w:line="240" w:lineRule="auto"/>
      </w:pPr>
      <w:r w:rsidRPr="009163B8">
        <w:t>Automated and accessible (self-service function, information sharing and broadcasting) service delivery &amp; support</w:t>
      </w:r>
      <w:r w:rsidR="00B85275">
        <w:t xml:space="preserve"> </w:t>
      </w:r>
      <w:r w:rsidR="00B85275" w:rsidRPr="00B85275">
        <w:rPr>
          <w:rStyle w:val="SubtleEmphasis"/>
        </w:rPr>
        <w:t>(with tool suite)</w:t>
      </w:r>
    </w:p>
    <w:p w:rsidR="005B64E6" w:rsidRDefault="005B64E6" w:rsidP="009163B8">
      <w:pPr>
        <w:pStyle w:val="ListParagraph"/>
        <w:ind w:left="1080"/>
      </w:pPr>
    </w:p>
    <w:p w:rsidR="009163B8" w:rsidRPr="005B64E6" w:rsidRDefault="009163B8" w:rsidP="001E0372">
      <w:pPr>
        <w:pStyle w:val="ListParagraph"/>
        <w:numPr>
          <w:ilvl w:val="0"/>
          <w:numId w:val="8"/>
        </w:numPr>
        <w:rPr>
          <w:rStyle w:val="SubtleReference"/>
        </w:rPr>
      </w:pPr>
      <w:r w:rsidRPr="005B64E6">
        <w:rPr>
          <w:rStyle w:val="SubtleReference"/>
        </w:rPr>
        <w:t xml:space="preserve">Improved Communication &amp; Visibility Between </w:t>
      </w:r>
      <w:r w:rsidR="004263B6" w:rsidRPr="005B64E6">
        <w:rPr>
          <w:rStyle w:val="SubtleReference"/>
        </w:rPr>
        <w:t>IT Groups</w:t>
      </w:r>
    </w:p>
    <w:p w:rsidR="009163B8" w:rsidRDefault="00E4604A" w:rsidP="001E0372">
      <w:pPr>
        <w:pStyle w:val="ListParagraph"/>
        <w:numPr>
          <w:ilvl w:val="0"/>
          <w:numId w:val="6"/>
        </w:numPr>
      </w:pPr>
      <w:r>
        <w:t xml:space="preserve">Improved scores on </w:t>
      </w:r>
      <w:r w:rsidR="004263B6">
        <w:t xml:space="preserve">Analyst satisfaction survey </w:t>
      </w:r>
    </w:p>
    <w:p w:rsidR="009163B8" w:rsidRDefault="009163B8" w:rsidP="001E0372">
      <w:pPr>
        <w:pStyle w:val="ListParagraph"/>
        <w:numPr>
          <w:ilvl w:val="0"/>
          <w:numId w:val="6"/>
        </w:numPr>
      </w:pPr>
      <w:r>
        <w:t xml:space="preserve">% increase with compliance of standard priority matrix and SLAs for expected time respond </w:t>
      </w:r>
    </w:p>
    <w:p w:rsidR="009163B8" w:rsidRDefault="009163B8" w:rsidP="001E0372">
      <w:pPr>
        <w:pStyle w:val="ListParagraph"/>
        <w:numPr>
          <w:ilvl w:val="0"/>
          <w:numId w:val="6"/>
        </w:numPr>
      </w:pPr>
      <w:r>
        <w:t xml:space="preserve">% increase with compliance of standard priority matrix and expected time to communicate internally </w:t>
      </w:r>
    </w:p>
    <w:p w:rsidR="004263B6" w:rsidRDefault="004263B6" w:rsidP="004263B6">
      <w:pPr>
        <w:pStyle w:val="ListParagraph"/>
        <w:rPr>
          <w:u w:val="single"/>
        </w:rPr>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Integrated workflow across IT and non-IT Service Providers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Integrated business continuity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p>
    <w:p w:rsidR="005B64E6" w:rsidRPr="009163B8" w:rsidRDefault="005B64E6" w:rsidP="001E0372">
      <w:pPr>
        <w:numPr>
          <w:ilvl w:val="0"/>
          <w:numId w:val="12"/>
        </w:numPr>
        <w:spacing w:after="0" w:line="240" w:lineRule="auto"/>
      </w:pPr>
      <w:r w:rsidRPr="009163B8">
        <w:t xml:space="preserve">Seamless integration and information exchange with </w:t>
      </w:r>
      <w:r w:rsidR="00B85275">
        <w:t xml:space="preserve">other UBC systems across campus </w:t>
      </w:r>
      <w:r w:rsidR="00B85275" w:rsidRPr="00B85275">
        <w:rPr>
          <w:rStyle w:val="SubtleEmphasis"/>
        </w:rPr>
        <w:t>(with tool suite)</w:t>
      </w:r>
    </w:p>
    <w:p w:rsidR="005B64E6" w:rsidRPr="009163B8" w:rsidRDefault="005B64E6" w:rsidP="001E0372">
      <w:pPr>
        <w:numPr>
          <w:ilvl w:val="0"/>
          <w:numId w:val="12"/>
        </w:numPr>
        <w:spacing w:after="0" w:line="240" w:lineRule="auto"/>
      </w:pPr>
      <w:r w:rsidRPr="009163B8">
        <w:lastRenderedPageBreak/>
        <w:t>Visible, integrated, reportable</w:t>
      </w:r>
      <w:r w:rsidR="00B85275">
        <w:t xml:space="preserve"> data </w:t>
      </w:r>
      <w:r w:rsidR="00B85275" w:rsidRPr="00B85275">
        <w:rPr>
          <w:rStyle w:val="SubtleEmphasis"/>
        </w:rPr>
        <w:t>(with tool suite)</w:t>
      </w:r>
    </w:p>
    <w:p w:rsidR="00D82880" w:rsidRPr="00D423B4" w:rsidRDefault="00D82880" w:rsidP="00D423B4">
      <w:pPr>
        <w:rPr>
          <w:u w:val="single"/>
        </w:rPr>
      </w:pPr>
    </w:p>
    <w:p w:rsidR="004263B6" w:rsidRPr="005B64E6" w:rsidRDefault="004263B6" w:rsidP="001E0372">
      <w:pPr>
        <w:pStyle w:val="ListParagraph"/>
        <w:numPr>
          <w:ilvl w:val="0"/>
          <w:numId w:val="8"/>
        </w:numPr>
        <w:rPr>
          <w:rStyle w:val="SubtleReference"/>
        </w:rPr>
      </w:pPr>
      <w:r w:rsidRPr="005B64E6">
        <w:rPr>
          <w:rStyle w:val="SubtleReference"/>
        </w:rPr>
        <w:t>Improved Process Efficiency</w:t>
      </w:r>
      <w:r w:rsidR="00090374" w:rsidRPr="005B64E6">
        <w:rPr>
          <w:rStyle w:val="SubtleReference"/>
        </w:rPr>
        <w:t xml:space="preserve"> and Integration Across IT Groups</w:t>
      </w:r>
    </w:p>
    <w:p w:rsidR="004263B6" w:rsidRDefault="00E4604A" w:rsidP="001E0372">
      <w:pPr>
        <w:pStyle w:val="ListParagraph"/>
        <w:numPr>
          <w:ilvl w:val="0"/>
          <w:numId w:val="6"/>
        </w:numPr>
      </w:pPr>
      <w:r>
        <w:t>% increase in incident response and resolution times</w:t>
      </w:r>
    </w:p>
    <w:p w:rsidR="00E4604A" w:rsidRDefault="00E4604A" w:rsidP="001E0372">
      <w:pPr>
        <w:pStyle w:val="ListParagraph"/>
        <w:numPr>
          <w:ilvl w:val="0"/>
          <w:numId w:val="6"/>
        </w:numPr>
      </w:pPr>
      <w:r>
        <w:t>% increase in first response resolution</w:t>
      </w:r>
    </w:p>
    <w:p w:rsidR="00E4604A" w:rsidRDefault="00E4604A" w:rsidP="001E0372">
      <w:pPr>
        <w:pStyle w:val="ListParagraph"/>
        <w:numPr>
          <w:ilvl w:val="0"/>
          <w:numId w:val="6"/>
        </w:numPr>
      </w:pPr>
      <w:r>
        <w:t>% increase in incident resolution by priority and category</w:t>
      </w:r>
    </w:p>
    <w:p w:rsidR="00583DCA" w:rsidRDefault="00583DCA" w:rsidP="001E0372">
      <w:pPr>
        <w:pStyle w:val="ListParagraph"/>
        <w:numPr>
          <w:ilvl w:val="0"/>
          <w:numId w:val="6"/>
        </w:numPr>
      </w:pPr>
      <w:r>
        <w:t xml:space="preserve">% increase in traceable incidents &amp; problems from initiation to resolution across IT groups </w:t>
      </w:r>
    </w:p>
    <w:p w:rsidR="00E4604A" w:rsidRDefault="00E4604A" w:rsidP="001E0372">
      <w:pPr>
        <w:pStyle w:val="ListParagraph"/>
        <w:numPr>
          <w:ilvl w:val="0"/>
          <w:numId w:val="6"/>
        </w:numPr>
      </w:pPr>
      <w:r>
        <w:t>% decrease in service interruptions due to system or infrastructure changes</w:t>
      </w:r>
    </w:p>
    <w:p w:rsidR="00E4604A" w:rsidRDefault="00E4604A" w:rsidP="001E0372">
      <w:pPr>
        <w:pStyle w:val="ListParagraph"/>
        <w:numPr>
          <w:ilvl w:val="0"/>
          <w:numId w:val="6"/>
        </w:numPr>
      </w:pPr>
      <w:r>
        <w:t>% fewer changes ‘backed-out’ because of testing failures or resulting incidents</w:t>
      </w:r>
    </w:p>
    <w:p w:rsidR="00811C21" w:rsidRDefault="00811C21" w:rsidP="001E0372">
      <w:pPr>
        <w:pStyle w:val="ListParagraph"/>
        <w:numPr>
          <w:ilvl w:val="0"/>
          <w:numId w:val="6"/>
        </w:numPr>
      </w:pPr>
      <w:r>
        <w:t># decrease in service information requests at the Service Desk</w:t>
      </w:r>
    </w:p>
    <w:p w:rsidR="00811C21" w:rsidRDefault="00811C21" w:rsidP="001E0372">
      <w:pPr>
        <w:pStyle w:val="ListParagraph"/>
        <w:numPr>
          <w:ilvl w:val="0"/>
          <w:numId w:val="6"/>
        </w:numPr>
      </w:pPr>
      <w:r>
        <w:t># decrease in manual service provisioning requests at the Service Desk</w:t>
      </w:r>
    </w:p>
    <w:p w:rsidR="00811C21" w:rsidRDefault="00811C21" w:rsidP="001E0372">
      <w:pPr>
        <w:pStyle w:val="ListParagraph"/>
        <w:numPr>
          <w:ilvl w:val="0"/>
          <w:numId w:val="6"/>
        </w:numPr>
      </w:pPr>
      <w:r>
        <w:t># decrease in incident and service request fulfillment escalations</w:t>
      </w:r>
    </w:p>
    <w:p w:rsidR="003971DC" w:rsidRDefault="003971DC" w:rsidP="001E0372">
      <w:pPr>
        <w:pStyle w:val="ListParagraph"/>
        <w:numPr>
          <w:ilvl w:val="0"/>
          <w:numId w:val="6"/>
        </w:numPr>
      </w:pPr>
      <w:r>
        <w:t># decrease in incident management ticketing tools within and across IT groups</w:t>
      </w:r>
    </w:p>
    <w:p w:rsidR="003971DC" w:rsidRDefault="003971DC" w:rsidP="001E0372">
      <w:pPr>
        <w:pStyle w:val="ListParagraph"/>
        <w:numPr>
          <w:ilvl w:val="0"/>
          <w:numId w:val="6"/>
        </w:numPr>
      </w:pPr>
      <w:r>
        <w:t xml:space="preserve"># </w:t>
      </w:r>
      <w:r w:rsidR="00DB0F35">
        <w:t>increase</w:t>
      </w:r>
      <w:r>
        <w:t xml:space="preserve"> in use of </w:t>
      </w:r>
      <w:r w:rsidR="00DB0F35">
        <w:t>a specific service request tool (other than the IM tool or no tool)</w:t>
      </w:r>
    </w:p>
    <w:p w:rsidR="004263B6" w:rsidRDefault="004263B6" w:rsidP="004263B6">
      <w:pPr>
        <w:pStyle w:val="ListParagraph"/>
        <w:ind w:left="1080"/>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Integrated workflow across IT and non-IT Service Providers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Integrated business continuity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Traceability of incidents and problems from initiation to resolution</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p>
    <w:p w:rsidR="005B64E6" w:rsidRPr="009163B8" w:rsidRDefault="005B64E6" w:rsidP="001E0372">
      <w:pPr>
        <w:numPr>
          <w:ilvl w:val="0"/>
          <w:numId w:val="12"/>
        </w:numPr>
        <w:spacing w:after="0" w:line="240" w:lineRule="auto"/>
      </w:pPr>
      <w:r w:rsidRPr="009163B8">
        <w:t xml:space="preserve">Seamless integration and information exchange with </w:t>
      </w:r>
      <w:r w:rsidR="00D82880">
        <w:t xml:space="preserve">other UBC systems across campus </w:t>
      </w:r>
      <w:r w:rsidR="00D82880" w:rsidRPr="00B85275">
        <w:rPr>
          <w:rStyle w:val="SubtleEmphasis"/>
        </w:rPr>
        <w:t>(with tool suite)</w:t>
      </w:r>
    </w:p>
    <w:p w:rsidR="005B64E6" w:rsidRPr="009163B8" w:rsidRDefault="005B64E6" w:rsidP="001E0372">
      <w:pPr>
        <w:numPr>
          <w:ilvl w:val="0"/>
          <w:numId w:val="12"/>
        </w:numPr>
        <w:spacing w:after="0" w:line="240" w:lineRule="auto"/>
      </w:pPr>
      <w:r w:rsidRPr="009163B8">
        <w:t>Visible, integrated, reportable</w:t>
      </w:r>
      <w:r w:rsidR="00D82880">
        <w:t xml:space="preserve"> data </w:t>
      </w:r>
      <w:r w:rsidR="00D82880" w:rsidRPr="00B85275">
        <w:rPr>
          <w:rStyle w:val="SubtleEmphasis"/>
        </w:rPr>
        <w:t>(with tool suite)</w:t>
      </w:r>
    </w:p>
    <w:p w:rsidR="005B64E6" w:rsidRPr="009163B8" w:rsidRDefault="005B64E6" w:rsidP="001E0372">
      <w:pPr>
        <w:numPr>
          <w:ilvl w:val="0"/>
          <w:numId w:val="12"/>
        </w:numPr>
        <w:spacing w:after="0" w:line="240" w:lineRule="auto"/>
      </w:pPr>
      <w:r w:rsidRPr="009163B8">
        <w:t>Automated and accessible (self-service function, information sharing and broadcasting) service delivery &amp; support</w:t>
      </w:r>
      <w:r w:rsidR="00D82880">
        <w:t xml:space="preserve"> </w:t>
      </w:r>
      <w:r w:rsidR="00D82880" w:rsidRPr="00B85275">
        <w:rPr>
          <w:rStyle w:val="SubtleEmphasis"/>
        </w:rPr>
        <w:t>(with tool suite)</w:t>
      </w:r>
    </w:p>
    <w:p w:rsidR="005B64E6" w:rsidRDefault="005B64E6" w:rsidP="004263B6">
      <w:pPr>
        <w:pStyle w:val="ListParagraph"/>
        <w:ind w:left="1080"/>
      </w:pPr>
    </w:p>
    <w:p w:rsidR="004263B6" w:rsidRPr="005B64E6" w:rsidRDefault="00E4604A" w:rsidP="001E0372">
      <w:pPr>
        <w:pStyle w:val="ListParagraph"/>
        <w:numPr>
          <w:ilvl w:val="0"/>
          <w:numId w:val="8"/>
        </w:numPr>
        <w:rPr>
          <w:rStyle w:val="SubtleReference"/>
        </w:rPr>
      </w:pPr>
      <w:r w:rsidRPr="005B64E6">
        <w:rPr>
          <w:rStyle w:val="SubtleReference"/>
        </w:rPr>
        <w:t>Improved Reporting</w:t>
      </w:r>
    </w:p>
    <w:p w:rsidR="00E4604A" w:rsidRDefault="00E4604A" w:rsidP="001E0372">
      <w:pPr>
        <w:pStyle w:val="ListParagraph"/>
        <w:numPr>
          <w:ilvl w:val="0"/>
          <w:numId w:val="6"/>
        </w:numPr>
      </w:pPr>
      <w:r>
        <w:t># increase in service management reports, wi</w:t>
      </w:r>
      <w:r w:rsidR="00D82880">
        <w:t xml:space="preserve">thin teams and across IT groups </w:t>
      </w:r>
    </w:p>
    <w:p w:rsidR="005B64E6" w:rsidRDefault="005B64E6" w:rsidP="005B64E6">
      <w:pPr>
        <w:pStyle w:val="ListParagraph"/>
        <w:ind w:left="360"/>
      </w:pPr>
    </w:p>
    <w:p w:rsidR="005B64E6" w:rsidRPr="005B64E6" w:rsidRDefault="005B64E6" w:rsidP="005B64E6">
      <w:pPr>
        <w:pStyle w:val="ListParagraph"/>
        <w:ind w:left="360"/>
        <w:rPr>
          <w:rStyle w:val="SubtleEmphasis"/>
        </w:rPr>
      </w:pPr>
      <w:r w:rsidRPr="005B64E6">
        <w:rPr>
          <w:rStyle w:val="SubtleEmphasis"/>
        </w:rPr>
        <w:t>Supports the following business and technology drivers: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Improved customer-facing IT service support and delivery to the UBC user community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Established metrics on the effectiveness of the delivered service processes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 xml:space="preserve">Integrated business continuity </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Traceability of incidents and problems from initiation to resolution</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Reduced duplication and minimized redundant costs and effort across multiple IT departments</w:t>
      </w:r>
    </w:p>
    <w:p w:rsidR="005B64E6" w:rsidRPr="00583DCA" w:rsidRDefault="005B64E6" w:rsidP="001E0372">
      <w:pPr>
        <w:pStyle w:val="ListParagraph"/>
        <w:numPr>
          <w:ilvl w:val="0"/>
          <w:numId w:val="12"/>
        </w:numPr>
        <w:spacing w:after="0" w:line="240" w:lineRule="auto"/>
        <w:jc w:val="both"/>
        <w:rPr>
          <w:lang w:val="en-CA"/>
        </w:rPr>
      </w:pPr>
      <w:r w:rsidRPr="00583DCA">
        <w:rPr>
          <w:lang w:val="en-CA"/>
        </w:rPr>
        <w:t>Efficient and effective sharing of resources (people &amp; financial) across multiple IT departments</w:t>
      </w:r>
    </w:p>
    <w:p w:rsidR="00D82880" w:rsidRPr="009163B8" w:rsidRDefault="00D82880" w:rsidP="001E0372">
      <w:pPr>
        <w:numPr>
          <w:ilvl w:val="0"/>
          <w:numId w:val="12"/>
        </w:numPr>
        <w:spacing w:after="0" w:line="240" w:lineRule="auto"/>
      </w:pPr>
      <w:r w:rsidRPr="009163B8">
        <w:t xml:space="preserve">Seamless integration and information exchange with </w:t>
      </w:r>
      <w:r>
        <w:t xml:space="preserve">other UBC systems across campus </w:t>
      </w:r>
      <w:r w:rsidRPr="00B85275">
        <w:rPr>
          <w:rStyle w:val="SubtleEmphasis"/>
        </w:rPr>
        <w:t>(with tool suite)</w:t>
      </w:r>
    </w:p>
    <w:p w:rsidR="005B64E6" w:rsidRPr="009163B8" w:rsidRDefault="005B64E6" w:rsidP="001E0372">
      <w:pPr>
        <w:numPr>
          <w:ilvl w:val="0"/>
          <w:numId w:val="12"/>
        </w:numPr>
        <w:spacing w:after="0" w:line="240" w:lineRule="auto"/>
      </w:pPr>
      <w:r w:rsidRPr="009163B8">
        <w:t>Visible, integrated, reportable</w:t>
      </w:r>
      <w:r w:rsidR="00D82880">
        <w:t xml:space="preserve"> data </w:t>
      </w:r>
      <w:r w:rsidR="00D82880" w:rsidRPr="00B85275">
        <w:rPr>
          <w:rStyle w:val="SubtleEmphasis"/>
        </w:rPr>
        <w:t>(with tool suite)</w:t>
      </w:r>
    </w:p>
    <w:p w:rsidR="00090374" w:rsidRDefault="00090374" w:rsidP="00090374"/>
    <w:p w:rsidR="00D82880" w:rsidRDefault="00D82880"/>
    <w:p w:rsidR="00090374" w:rsidRDefault="00090374" w:rsidP="00D82880">
      <w:pPr>
        <w:pStyle w:val="Heading2"/>
      </w:pPr>
      <w:bookmarkStart w:id="6" w:name="_Toc286060926"/>
      <w:r>
        <w:t>Benefits Impact</w:t>
      </w:r>
      <w:r w:rsidR="00D82880">
        <w:t xml:space="preserve"> Table</w:t>
      </w:r>
      <w:bookmarkEnd w:id="6"/>
    </w:p>
    <w:tbl>
      <w:tblPr>
        <w:tblStyle w:val="TableGrid"/>
        <w:tblW w:w="0" w:type="auto"/>
        <w:tblLook w:val="04A0"/>
      </w:tblPr>
      <w:tblGrid>
        <w:gridCol w:w="5353"/>
        <w:gridCol w:w="1985"/>
        <w:gridCol w:w="1984"/>
        <w:gridCol w:w="1951"/>
      </w:tblGrid>
      <w:tr w:rsidR="00471EB3" w:rsidRPr="00471EB3" w:rsidTr="00892835">
        <w:tc>
          <w:tcPr>
            <w:tcW w:w="5353" w:type="dxa"/>
            <w:shd w:val="clear" w:color="auto" w:fill="D9D9D9" w:themeFill="background1" w:themeFillShade="D9"/>
          </w:tcPr>
          <w:p w:rsidR="00471EB3" w:rsidRPr="00471EB3" w:rsidRDefault="00471EB3" w:rsidP="007A2B8E">
            <w:pPr>
              <w:autoSpaceDE w:val="0"/>
              <w:autoSpaceDN w:val="0"/>
              <w:adjustRightInd w:val="0"/>
              <w:rPr>
                <w:b/>
              </w:rPr>
            </w:pPr>
            <w:r w:rsidRPr="00471EB3">
              <w:rPr>
                <w:b/>
              </w:rPr>
              <w:t>Benefit</w:t>
            </w:r>
          </w:p>
        </w:tc>
        <w:tc>
          <w:tcPr>
            <w:tcW w:w="5920" w:type="dxa"/>
            <w:gridSpan w:val="3"/>
            <w:shd w:val="clear" w:color="auto" w:fill="D9D9D9" w:themeFill="background1" w:themeFillShade="D9"/>
          </w:tcPr>
          <w:p w:rsidR="00471EB3" w:rsidRPr="00471EB3" w:rsidRDefault="00471EB3" w:rsidP="00D82880">
            <w:pPr>
              <w:autoSpaceDE w:val="0"/>
              <w:autoSpaceDN w:val="0"/>
              <w:adjustRightInd w:val="0"/>
              <w:jc w:val="center"/>
              <w:rPr>
                <w:b/>
              </w:rPr>
            </w:pPr>
            <w:r w:rsidRPr="00471EB3">
              <w:rPr>
                <w:b/>
              </w:rPr>
              <w:t>Benefit Impact</w:t>
            </w:r>
          </w:p>
        </w:tc>
      </w:tr>
      <w:tr w:rsidR="00090374" w:rsidTr="00D82880">
        <w:tc>
          <w:tcPr>
            <w:tcW w:w="5353" w:type="dxa"/>
            <w:shd w:val="clear" w:color="auto" w:fill="D9D9D9" w:themeFill="background1" w:themeFillShade="D9"/>
          </w:tcPr>
          <w:p w:rsidR="00090374" w:rsidRDefault="00090374" w:rsidP="007A2B8E">
            <w:pPr>
              <w:autoSpaceDE w:val="0"/>
              <w:autoSpaceDN w:val="0"/>
              <w:adjustRightInd w:val="0"/>
            </w:pPr>
          </w:p>
        </w:tc>
        <w:tc>
          <w:tcPr>
            <w:tcW w:w="1985" w:type="dxa"/>
            <w:shd w:val="clear" w:color="auto" w:fill="D9D9D9" w:themeFill="background1" w:themeFillShade="D9"/>
          </w:tcPr>
          <w:p w:rsidR="00090374" w:rsidRDefault="00090374" w:rsidP="00D82880">
            <w:pPr>
              <w:autoSpaceDE w:val="0"/>
              <w:autoSpaceDN w:val="0"/>
              <w:adjustRightInd w:val="0"/>
              <w:jc w:val="center"/>
            </w:pPr>
            <w:r>
              <w:t>Current State</w:t>
            </w:r>
          </w:p>
        </w:tc>
        <w:tc>
          <w:tcPr>
            <w:tcW w:w="1984" w:type="dxa"/>
            <w:shd w:val="clear" w:color="auto" w:fill="D9D9D9" w:themeFill="background1" w:themeFillShade="D9"/>
          </w:tcPr>
          <w:p w:rsidR="00090374" w:rsidRDefault="00090374" w:rsidP="00D82880">
            <w:pPr>
              <w:autoSpaceDE w:val="0"/>
              <w:autoSpaceDN w:val="0"/>
              <w:adjustRightInd w:val="0"/>
              <w:jc w:val="center"/>
            </w:pPr>
            <w:r>
              <w:t>Common Process Framework</w:t>
            </w:r>
          </w:p>
        </w:tc>
        <w:tc>
          <w:tcPr>
            <w:tcW w:w="1951" w:type="dxa"/>
            <w:shd w:val="clear" w:color="auto" w:fill="D9D9D9" w:themeFill="background1" w:themeFillShade="D9"/>
          </w:tcPr>
          <w:p w:rsidR="00090374" w:rsidRDefault="00090374" w:rsidP="00D82880">
            <w:pPr>
              <w:autoSpaceDE w:val="0"/>
              <w:autoSpaceDN w:val="0"/>
              <w:adjustRightInd w:val="0"/>
              <w:jc w:val="center"/>
            </w:pPr>
            <w:r>
              <w:t>Common Process Framework and ITSM Tool Suite</w:t>
            </w:r>
          </w:p>
        </w:tc>
      </w:tr>
      <w:tr w:rsidR="00090374" w:rsidTr="00090374">
        <w:tc>
          <w:tcPr>
            <w:tcW w:w="5353" w:type="dxa"/>
          </w:tcPr>
          <w:p w:rsidR="00090374" w:rsidRPr="00B361CF" w:rsidRDefault="00D82880" w:rsidP="001E0372">
            <w:pPr>
              <w:pStyle w:val="ListParagraph"/>
              <w:numPr>
                <w:ilvl w:val="0"/>
                <w:numId w:val="9"/>
              </w:numPr>
              <w:rPr>
                <w:rStyle w:val="SubtleReference"/>
              </w:rPr>
            </w:pPr>
            <w:r w:rsidRPr="00B361CF">
              <w:rPr>
                <w:rStyle w:val="SubtleReference"/>
              </w:rPr>
              <w:t xml:space="preserve">Framework </w:t>
            </w:r>
            <w:r w:rsidR="00090374" w:rsidRPr="00B361CF">
              <w:rPr>
                <w:rStyle w:val="SubtleReference"/>
              </w:rPr>
              <w:t xml:space="preserve">Adoption and Compliance </w:t>
            </w:r>
          </w:p>
        </w:tc>
        <w:tc>
          <w:tcPr>
            <w:tcW w:w="1985" w:type="dxa"/>
          </w:tcPr>
          <w:p w:rsidR="00090374" w:rsidRDefault="00D82880" w:rsidP="00D82880">
            <w:pPr>
              <w:autoSpaceDE w:val="0"/>
              <w:autoSpaceDN w:val="0"/>
              <w:adjustRightInd w:val="0"/>
              <w:jc w:val="center"/>
            </w:pPr>
            <w:r>
              <w:t>None</w:t>
            </w:r>
          </w:p>
        </w:tc>
        <w:tc>
          <w:tcPr>
            <w:tcW w:w="1984" w:type="dxa"/>
          </w:tcPr>
          <w:p w:rsidR="00090374" w:rsidRDefault="00D82880" w:rsidP="00D82880">
            <w:pPr>
              <w:autoSpaceDE w:val="0"/>
              <w:autoSpaceDN w:val="0"/>
              <w:adjustRightInd w:val="0"/>
              <w:jc w:val="center"/>
            </w:pPr>
            <w:r>
              <w:t>Med</w:t>
            </w:r>
          </w:p>
        </w:tc>
        <w:tc>
          <w:tcPr>
            <w:tcW w:w="1951" w:type="dxa"/>
          </w:tcPr>
          <w:p w:rsidR="00090374" w:rsidRPr="00D82880" w:rsidRDefault="00D82880" w:rsidP="00D82880">
            <w:pPr>
              <w:autoSpaceDE w:val="0"/>
              <w:autoSpaceDN w:val="0"/>
              <w:adjustRightInd w:val="0"/>
              <w:jc w:val="center"/>
              <w:rPr>
                <w:b/>
              </w:rPr>
            </w:pPr>
            <w:r w:rsidRPr="00D82880">
              <w:rPr>
                <w:b/>
              </w:rPr>
              <w:t>High</w:t>
            </w:r>
          </w:p>
        </w:tc>
      </w:tr>
      <w:tr w:rsidR="00D82880" w:rsidTr="00090374">
        <w:tc>
          <w:tcPr>
            <w:tcW w:w="5353" w:type="dxa"/>
          </w:tcPr>
          <w:p w:rsidR="00D82880" w:rsidRPr="00B361CF" w:rsidRDefault="00D82880" w:rsidP="001E0372">
            <w:pPr>
              <w:pStyle w:val="ListParagraph"/>
              <w:numPr>
                <w:ilvl w:val="0"/>
                <w:numId w:val="9"/>
              </w:numPr>
              <w:rPr>
                <w:rStyle w:val="SubtleReference"/>
              </w:rPr>
            </w:pPr>
            <w:r w:rsidRPr="00B361CF">
              <w:rPr>
                <w:rStyle w:val="SubtleReference"/>
              </w:rPr>
              <w:t>Tool Suite Adoption and Compliance</w:t>
            </w:r>
          </w:p>
        </w:tc>
        <w:tc>
          <w:tcPr>
            <w:tcW w:w="1985" w:type="dxa"/>
          </w:tcPr>
          <w:p w:rsidR="00D82880" w:rsidRDefault="00D82880" w:rsidP="00D82880">
            <w:pPr>
              <w:autoSpaceDE w:val="0"/>
              <w:autoSpaceDN w:val="0"/>
              <w:adjustRightInd w:val="0"/>
              <w:jc w:val="center"/>
            </w:pPr>
            <w:r>
              <w:t>None</w:t>
            </w:r>
          </w:p>
        </w:tc>
        <w:tc>
          <w:tcPr>
            <w:tcW w:w="1984" w:type="dxa"/>
          </w:tcPr>
          <w:p w:rsidR="00D82880" w:rsidRPr="00D82880" w:rsidRDefault="00D82880" w:rsidP="00D82880">
            <w:pPr>
              <w:autoSpaceDE w:val="0"/>
              <w:autoSpaceDN w:val="0"/>
              <w:adjustRightInd w:val="0"/>
              <w:jc w:val="center"/>
              <w:rPr>
                <w:b/>
              </w:rPr>
            </w:pPr>
            <w:r w:rsidRPr="00D82880">
              <w:rPr>
                <w:b/>
              </w:rPr>
              <w:t>High</w:t>
            </w:r>
          </w:p>
        </w:tc>
        <w:tc>
          <w:tcPr>
            <w:tcW w:w="1951" w:type="dxa"/>
          </w:tcPr>
          <w:p w:rsidR="00D82880" w:rsidRPr="00D82880" w:rsidRDefault="00D82880" w:rsidP="00D82880">
            <w:pPr>
              <w:autoSpaceDE w:val="0"/>
              <w:autoSpaceDN w:val="0"/>
              <w:adjustRightInd w:val="0"/>
              <w:jc w:val="center"/>
              <w:rPr>
                <w:b/>
              </w:rPr>
            </w:pPr>
            <w:r w:rsidRPr="00D82880">
              <w:rPr>
                <w:b/>
              </w:rPr>
              <w:t>High</w:t>
            </w:r>
          </w:p>
        </w:tc>
      </w:tr>
      <w:tr w:rsidR="00090374" w:rsidTr="00090374">
        <w:tc>
          <w:tcPr>
            <w:tcW w:w="5353" w:type="dxa"/>
          </w:tcPr>
          <w:p w:rsidR="00090374" w:rsidRPr="00B361CF" w:rsidRDefault="00CF475A" w:rsidP="001E0372">
            <w:pPr>
              <w:pStyle w:val="ListParagraph"/>
              <w:numPr>
                <w:ilvl w:val="0"/>
                <w:numId w:val="9"/>
              </w:numPr>
              <w:rPr>
                <w:rStyle w:val="SubtleReference"/>
              </w:rPr>
            </w:pPr>
            <w:r w:rsidRPr="00B361CF">
              <w:rPr>
                <w:rStyle w:val="SubtleReference"/>
              </w:rPr>
              <w:t xml:space="preserve">Service Support Consistency </w:t>
            </w:r>
          </w:p>
        </w:tc>
        <w:tc>
          <w:tcPr>
            <w:tcW w:w="1985" w:type="dxa"/>
          </w:tcPr>
          <w:p w:rsidR="00090374" w:rsidRDefault="00D82880" w:rsidP="00D82880">
            <w:pPr>
              <w:autoSpaceDE w:val="0"/>
              <w:autoSpaceDN w:val="0"/>
              <w:adjustRightInd w:val="0"/>
              <w:jc w:val="center"/>
            </w:pPr>
            <w:r>
              <w:t>None</w:t>
            </w:r>
          </w:p>
        </w:tc>
        <w:tc>
          <w:tcPr>
            <w:tcW w:w="1984" w:type="dxa"/>
          </w:tcPr>
          <w:p w:rsidR="00090374" w:rsidRDefault="00D82880" w:rsidP="00D82880">
            <w:pPr>
              <w:autoSpaceDE w:val="0"/>
              <w:autoSpaceDN w:val="0"/>
              <w:adjustRightInd w:val="0"/>
              <w:jc w:val="center"/>
            </w:pPr>
            <w:r>
              <w:t>Low</w:t>
            </w:r>
          </w:p>
        </w:tc>
        <w:tc>
          <w:tcPr>
            <w:tcW w:w="1951" w:type="dxa"/>
          </w:tcPr>
          <w:p w:rsidR="00090374" w:rsidRDefault="00D82880" w:rsidP="00D82880">
            <w:pPr>
              <w:autoSpaceDE w:val="0"/>
              <w:autoSpaceDN w:val="0"/>
              <w:adjustRightInd w:val="0"/>
              <w:jc w:val="center"/>
            </w:pPr>
            <w:r w:rsidRPr="00D82880">
              <w:rPr>
                <w:b/>
              </w:rPr>
              <w:t>High</w:t>
            </w:r>
          </w:p>
        </w:tc>
      </w:tr>
      <w:tr w:rsidR="00090374" w:rsidTr="00090374">
        <w:tc>
          <w:tcPr>
            <w:tcW w:w="5353" w:type="dxa"/>
          </w:tcPr>
          <w:p w:rsidR="00090374" w:rsidRPr="00B361CF" w:rsidRDefault="00CF475A" w:rsidP="001E0372">
            <w:pPr>
              <w:pStyle w:val="ListParagraph"/>
              <w:numPr>
                <w:ilvl w:val="0"/>
                <w:numId w:val="9"/>
              </w:numPr>
              <w:rPr>
                <w:rStyle w:val="SubtleReference"/>
              </w:rPr>
            </w:pPr>
            <w:r w:rsidRPr="00B361CF">
              <w:rPr>
                <w:rStyle w:val="SubtleReference"/>
              </w:rPr>
              <w:t xml:space="preserve">Positive Customer Experience </w:t>
            </w:r>
          </w:p>
        </w:tc>
        <w:tc>
          <w:tcPr>
            <w:tcW w:w="1985" w:type="dxa"/>
          </w:tcPr>
          <w:p w:rsidR="00090374" w:rsidRDefault="00D82880" w:rsidP="00D82880">
            <w:pPr>
              <w:autoSpaceDE w:val="0"/>
              <w:autoSpaceDN w:val="0"/>
              <w:adjustRightInd w:val="0"/>
              <w:jc w:val="center"/>
            </w:pPr>
            <w:r>
              <w:t>Med</w:t>
            </w:r>
          </w:p>
        </w:tc>
        <w:tc>
          <w:tcPr>
            <w:tcW w:w="1984" w:type="dxa"/>
          </w:tcPr>
          <w:p w:rsidR="00090374" w:rsidRDefault="00D82880" w:rsidP="00D82880">
            <w:pPr>
              <w:autoSpaceDE w:val="0"/>
              <w:autoSpaceDN w:val="0"/>
              <w:adjustRightInd w:val="0"/>
              <w:jc w:val="center"/>
            </w:pPr>
            <w:r>
              <w:t>Med</w:t>
            </w:r>
          </w:p>
        </w:tc>
        <w:tc>
          <w:tcPr>
            <w:tcW w:w="1951" w:type="dxa"/>
          </w:tcPr>
          <w:p w:rsidR="00090374" w:rsidRDefault="00D82880" w:rsidP="00D82880">
            <w:pPr>
              <w:autoSpaceDE w:val="0"/>
              <w:autoSpaceDN w:val="0"/>
              <w:adjustRightInd w:val="0"/>
              <w:jc w:val="center"/>
            </w:pPr>
            <w:r w:rsidRPr="00D82880">
              <w:rPr>
                <w:b/>
              </w:rPr>
              <w:t>High</w:t>
            </w:r>
          </w:p>
        </w:tc>
      </w:tr>
      <w:tr w:rsidR="00090374" w:rsidTr="00090374">
        <w:tc>
          <w:tcPr>
            <w:tcW w:w="5353" w:type="dxa"/>
          </w:tcPr>
          <w:p w:rsidR="00090374" w:rsidRPr="00B361CF" w:rsidRDefault="00CF475A" w:rsidP="001E0372">
            <w:pPr>
              <w:pStyle w:val="ListParagraph"/>
              <w:numPr>
                <w:ilvl w:val="0"/>
                <w:numId w:val="9"/>
              </w:numPr>
              <w:rPr>
                <w:rStyle w:val="SubtleReference"/>
              </w:rPr>
            </w:pPr>
            <w:r w:rsidRPr="00B361CF">
              <w:rPr>
                <w:rStyle w:val="SubtleReference"/>
              </w:rPr>
              <w:t>Improved Communication &amp; Visibility Between IT Groups</w:t>
            </w:r>
          </w:p>
        </w:tc>
        <w:tc>
          <w:tcPr>
            <w:tcW w:w="1985" w:type="dxa"/>
          </w:tcPr>
          <w:p w:rsidR="00090374" w:rsidRDefault="00D82880" w:rsidP="00D82880">
            <w:pPr>
              <w:autoSpaceDE w:val="0"/>
              <w:autoSpaceDN w:val="0"/>
              <w:adjustRightInd w:val="0"/>
              <w:jc w:val="center"/>
            </w:pPr>
            <w:r>
              <w:t>Low</w:t>
            </w:r>
          </w:p>
        </w:tc>
        <w:tc>
          <w:tcPr>
            <w:tcW w:w="1984" w:type="dxa"/>
          </w:tcPr>
          <w:p w:rsidR="00090374" w:rsidRDefault="00D82880" w:rsidP="00D82880">
            <w:pPr>
              <w:autoSpaceDE w:val="0"/>
              <w:autoSpaceDN w:val="0"/>
              <w:adjustRightInd w:val="0"/>
              <w:jc w:val="center"/>
            </w:pPr>
            <w:r>
              <w:t>Med</w:t>
            </w:r>
          </w:p>
        </w:tc>
        <w:tc>
          <w:tcPr>
            <w:tcW w:w="1951" w:type="dxa"/>
          </w:tcPr>
          <w:p w:rsidR="00090374" w:rsidRDefault="00D82880" w:rsidP="00D82880">
            <w:pPr>
              <w:autoSpaceDE w:val="0"/>
              <w:autoSpaceDN w:val="0"/>
              <w:adjustRightInd w:val="0"/>
              <w:jc w:val="center"/>
            </w:pPr>
            <w:r w:rsidRPr="00D82880">
              <w:rPr>
                <w:b/>
              </w:rPr>
              <w:t>High</w:t>
            </w:r>
          </w:p>
        </w:tc>
      </w:tr>
      <w:tr w:rsidR="00090374" w:rsidTr="00090374">
        <w:tc>
          <w:tcPr>
            <w:tcW w:w="5353" w:type="dxa"/>
          </w:tcPr>
          <w:p w:rsidR="00090374" w:rsidRPr="00B361CF" w:rsidRDefault="00CF475A" w:rsidP="001E0372">
            <w:pPr>
              <w:pStyle w:val="ListParagraph"/>
              <w:numPr>
                <w:ilvl w:val="0"/>
                <w:numId w:val="9"/>
              </w:numPr>
              <w:rPr>
                <w:rStyle w:val="SubtleReference"/>
              </w:rPr>
            </w:pPr>
            <w:r w:rsidRPr="00B361CF">
              <w:rPr>
                <w:rStyle w:val="SubtleReference"/>
              </w:rPr>
              <w:t>Improved Process Efficiency and Integration Across IT Group</w:t>
            </w:r>
          </w:p>
        </w:tc>
        <w:tc>
          <w:tcPr>
            <w:tcW w:w="1985" w:type="dxa"/>
          </w:tcPr>
          <w:p w:rsidR="00090374" w:rsidRDefault="00D82880" w:rsidP="00D82880">
            <w:pPr>
              <w:autoSpaceDE w:val="0"/>
              <w:autoSpaceDN w:val="0"/>
              <w:adjustRightInd w:val="0"/>
              <w:jc w:val="center"/>
            </w:pPr>
            <w:r>
              <w:t>Low</w:t>
            </w:r>
          </w:p>
        </w:tc>
        <w:tc>
          <w:tcPr>
            <w:tcW w:w="1984" w:type="dxa"/>
          </w:tcPr>
          <w:p w:rsidR="00090374" w:rsidRDefault="00D82880" w:rsidP="00D82880">
            <w:pPr>
              <w:autoSpaceDE w:val="0"/>
              <w:autoSpaceDN w:val="0"/>
              <w:adjustRightInd w:val="0"/>
              <w:jc w:val="center"/>
            </w:pPr>
            <w:r>
              <w:t>Med</w:t>
            </w:r>
          </w:p>
        </w:tc>
        <w:tc>
          <w:tcPr>
            <w:tcW w:w="1951" w:type="dxa"/>
          </w:tcPr>
          <w:p w:rsidR="00090374" w:rsidRDefault="00D82880" w:rsidP="00D82880">
            <w:pPr>
              <w:autoSpaceDE w:val="0"/>
              <w:autoSpaceDN w:val="0"/>
              <w:adjustRightInd w:val="0"/>
              <w:jc w:val="center"/>
            </w:pPr>
            <w:r w:rsidRPr="00D82880">
              <w:rPr>
                <w:b/>
              </w:rPr>
              <w:t>High</w:t>
            </w:r>
          </w:p>
        </w:tc>
      </w:tr>
      <w:tr w:rsidR="00090374" w:rsidTr="00090374">
        <w:tc>
          <w:tcPr>
            <w:tcW w:w="5353" w:type="dxa"/>
          </w:tcPr>
          <w:p w:rsidR="00090374" w:rsidRPr="00B361CF" w:rsidRDefault="00CF475A" w:rsidP="001E0372">
            <w:pPr>
              <w:pStyle w:val="ListParagraph"/>
              <w:numPr>
                <w:ilvl w:val="0"/>
                <w:numId w:val="9"/>
              </w:numPr>
              <w:rPr>
                <w:rStyle w:val="SubtleReference"/>
              </w:rPr>
            </w:pPr>
            <w:r w:rsidRPr="00B361CF">
              <w:rPr>
                <w:rStyle w:val="SubtleReference"/>
              </w:rPr>
              <w:t>Improved Reporting</w:t>
            </w:r>
          </w:p>
        </w:tc>
        <w:tc>
          <w:tcPr>
            <w:tcW w:w="1985" w:type="dxa"/>
          </w:tcPr>
          <w:p w:rsidR="00090374" w:rsidRDefault="00D82880" w:rsidP="00D82880">
            <w:pPr>
              <w:autoSpaceDE w:val="0"/>
              <w:autoSpaceDN w:val="0"/>
              <w:adjustRightInd w:val="0"/>
              <w:jc w:val="center"/>
            </w:pPr>
            <w:r>
              <w:t>Low</w:t>
            </w:r>
          </w:p>
        </w:tc>
        <w:tc>
          <w:tcPr>
            <w:tcW w:w="1984" w:type="dxa"/>
          </w:tcPr>
          <w:p w:rsidR="00090374" w:rsidRDefault="00D82880" w:rsidP="00D82880">
            <w:pPr>
              <w:autoSpaceDE w:val="0"/>
              <w:autoSpaceDN w:val="0"/>
              <w:adjustRightInd w:val="0"/>
              <w:jc w:val="center"/>
            </w:pPr>
            <w:r>
              <w:t>Med</w:t>
            </w:r>
          </w:p>
        </w:tc>
        <w:tc>
          <w:tcPr>
            <w:tcW w:w="1951" w:type="dxa"/>
          </w:tcPr>
          <w:p w:rsidR="00090374" w:rsidRDefault="00D82880" w:rsidP="00D82880">
            <w:pPr>
              <w:autoSpaceDE w:val="0"/>
              <w:autoSpaceDN w:val="0"/>
              <w:adjustRightInd w:val="0"/>
              <w:jc w:val="center"/>
            </w:pPr>
            <w:r w:rsidRPr="00D82880">
              <w:rPr>
                <w:b/>
              </w:rPr>
              <w:t>High</w:t>
            </w:r>
          </w:p>
        </w:tc>
      </w:tr>
    </w:tbl>
    <w:p w:rsidR="002C0095" w:rsidRDefault="002C0095">
      <w:pPr>
        <w:rPr>
          <w:rFonts w:ascii="Cambria" w:eastAsia="Times New Roman" w:hAnsi="Cambria"/>
          <w:b/>
          <w:bCs/>
          <w:color w:val="4F81BD"/>
          <w:sz w:val="26"/>
          <w:szCs w:val="26"/>
        </w:rPr>
      </w:pPr>
    </w:p>
    <w:p w:rsidR="00D423B4" w:rsidRDefault="00D423B4" w:rsidP="00AE4C74">
      <w:pPr>
        <w:pStyle w:val="Heading1"/>
      </w:pPr>
      <w:bookmarkStart w:id="7" w:name="_Toc286060927"/>
      <w:r>
        <w:t xml:space="preserve">Cost / Benefit </w:t>
      </w:r>
      <w:r w:rsidR="00AE4C74">
        <w:t xml:space="preserve">Financial </w:t>
      </w:r>
      <w:r>
        <w:t>Analysis</w:t>
      </w:r>
      <w:bookmarkEnd w:id="7"/>
    </w:p>
    <w:p w:rsidR="00AF4AA4" w:rsidRDefault="00584030" w:rsidP="007A2B8E">
      <w:pPr>
        <w:autoSpaceDE w:val="0"/>
        <w:autoSpaceDN w:val="0"/>
        <w:adjustRightInd w:val="0"/>
        <w:rPr>
          <w:rFonts w:cs="Arial"/>
          <w:lang w:val="en-CA" w:eastAsia="en-CA"/>
        </w:rPr>
      </w:pPr>
      <w:r>
        <w:rPr>
          <w:rFonts w:cs="Arial"/>
          <w:lang w:val="en-CA" w:eastAsia="en-CA"/>
        </w:rPr>
        <w:t xml:space="preserve">It is difficult to quantify the benefits financially as many of them are found in improved customer perceptions and process efficiencies that are currently not measured. However, it can be estimated that there would be cost savings found as service requests and knowledge bases are automated and turned out to the customers and as fewer FTEs are required with automated change management, fewer change-related incidents and higher incident and problem resolution time. Reporting would enable intelligence around processes that is currently not available which would improve the management and decision-making around support and delivery of services. </w:t>
      </w:r>
    </w:p>
    <w:p w:rsidR="00F80C28" w:rsidRPr="00AF4AA4" w:rsidRDefault="00471EB3" w:rsidP="00AE4C74">
      <w:pPr>
        <w:pStyle w:val="Heading2"/>
        <w:rPr>
          <w:rStyle w:val="IntenseEmphasis"/>
          <w:i w:val="0"/>
        </w:rPr>
      </w:pPr>
      <w:bookmarkStart w:id="8" w:name="_Toc286060928"/>
      <w:r w:rsidRPr="00AF4AA4">
        <w:rPr>
          <w:rStyle w:val="IntenseEmphasis"/>
          <w:i w:val="0"/>
        </w:rPr>
        <w:t>Estimated 5 Year Benefits</w:t>
      </w:r>
      <w:bookmarkEnd w:id="8"/>
      <w:r w:rsidR="00F80C28" w:rsidRPr="00AF4AA4">
        <w:rPr>
          <w:rStyle w:val="IntenseEmphasis"/>
          <w:i w:val="0"/>
        </w:rPr>
        <w:t xml:space="preserve"> </w:t>
      </w:r>
    </w:p>
    <w:p w:rsidR="00F80C28" w:rsidRPr="00F80C28" w:rsidRDefault="00F80C28" w:rsidP="00F80C28">
      <w:pPr>
        <w:rPr>
          <w:rFonts w:cs="Arial"/>
          <w:lang w:val="en-CA" w:eastAsia="en-CA"/>
        </w:rPr>
      </w:pPr>
      <w:r>
        <w:rPr>
          <w:rFonts w:cs="Arial"/>
          <w:lang w:val="en-CA" w:eastAsia="en-CA"/>
        </w:rPr>
        <w:t>Benefits are calculated based on anticipated cost avoidance or savings</w:t>
      </w:r>
      <w:r w:rsidR="0048477F">
        <w:rPr>
          <w:rFonts w:cs="Arial"/>
          <w:lang w:val="en-CA" w:eastAsia="en-CA"/>
        </w:rPr>
        <w:t xml:space="preserve"> by YEAR 2 which will be sustained for each following year</w:t>
      </w:r>
      <w:r>
        <w:rPr>
          <w:rFonts w:cs="Arial"/>
          <w:lang w:val="en-CA" w:eastAsia="en-CA"/>
        </w:rPr>
        <w:t>. Savings are as follows:</w:t>
      </w:r>
    </w:p>
    <w:p w:rsidR="00F80C28" w:rsidRDefault="00F80C28" w:rsidP="001E0372">
      <w:pPr>
        <w:pStyle w:val="ListParagraph"/>
        <w:numPr>
          <w:ilvl w:val="0"/>
          <w:numId w:val="14"/>
        </w:numPr>
        <w:rPr>
          <w:rFonts w:cs="Arial"/>
          <w:lang w:val="en-CA" w:eastAsia="en-CA"/>
        </w:rPr>
      </w:pPr>
      <w:r w:rsidRPr="00F80C28">
        <w:rPr>
          <w:rFonts w:cs="Arial"/>
          <w:lang w:val="en-CA" w:eastAsia="en-CA"/>
        </w:rPr>
        <w:t xml:space="preserve">Customer </w:t>
      </w:r>
      <w:r>
        <w:rPr>
          <w:rFonts w:cs="Arial"/>
          <w:lang w:val="en-CA" w:eastAsia="en-CA"/>
        </w:rPr>
        <w:t>Service s</w:t>
      </w:r>
      <w:r w:rsidRPr="00F80C28">
        <w:rPr>
          <w:rFonts w:cs="Arial"/>
          <w:lang w:val="en-CA" w:eastAsia="en-CA"/>
        </w:rPr>
        <w:t>avings is based on increased us</w:t>
      </w:r>
      <w:r>
        <w:rPr>
          <w:rFonts w:cs="Arial"/>
          <w:lang w:val="en-CA" w:eastAsia="en-CA"/>
        </w:rPr>
        <w:t>e</w:t>
      </w:r>
      <w:r w:rsidRPr="00F80C28">
        <w:rPr>
          <w:rFonts w:cs="Arial"/>
          <w:lang w:val="en-CA" w:eastAsia="en-CA"/>
        </w:rPr>
        <w:t xml:space="preserve"> of self-service portal and increased use of automated services. </w:t>
      </w:r>
      <w:r w:rsidR="00BF7CC7">
        <w:rPr>
          <w:rFonts w:cs="Arial"/>
          <w:lang w:val="en-CA" w:eastAsia="en-CA"/>
        </w:rPr>
        <w:t>This will result in a percent reduction in overall Service Centre operating costs.</w:t>
      </w:r>
    </w:p>
    <w:p w:rsidR="00BF7CC7" w:rsidRDefault="00BF7CC7" w:rsidP="001E0372">
      <w:pPr>
        <w:pStyle w:val="ListParagraph"/>
        <w:numPr>
          <w:ilvl w:val="0"/>
          <w:numId w:val="14"/>
        </w:numPr>
        <w:rPr>
          <w:rFonts w:cs="Arial"/>
          <w:lang w:val="en-CA" w:eastAsia="en-CA"/>
        </w:rPr>
      </w:pPr>
      <w:r>
        <w:rPr>
          <w:rFonts w:cs="Arial"/>
          <w:lang w:val="en-CA" w:eastAsia="en-CA"/>
        </w:rPr>
        <w:t>Process efficiency &amp; integration savings is based on efficiencies and consistency within and across groups. This will result in a percent reduction in overall IT operating costs.</w:t>
      </w:r>
    </w:p>
    <w:p w:rsidR="00BF7CC7" w:rsidRDefault="00BF7CC7" w:rsidP="001E0372">
      <w:pPr>
        <w:pStyle w:val="ListParagraph"/>
        <w:numPr>
          <w:ilvl w:val="0"/>
          <w:numId w:val="14"/>
        </w:numPr>
        <w:rPr>
          <w:rFonts w:cs="Arial"/>
          <w:lang w:val="en-CA" w:eastAsia="en-CA"/>
        </w:rPr>
      </w:pPr>
      <w:r>
        <w:rPr>
          <w:rFonts w:cs="Arial"/>
          <w:lang w:val="en-CA" w:eastAsia="en-CA"/>
        </w:rPr>
        <w:t xml:space="preserve">System integration &amp; automation savings are based on moving towards an enterprise technology platform and interfacing specialized </w:t>
      </w:r>
      <w:r w:rsidR="00243FDF">
        <w:rPr>
          <w:rFonts w:cs="Arial"/>
          <w:lang w:val="en-CA" w:eastAsia="en-CA"/>
        </w:rPr>
        <w:t xml:space="preserve">or other business </w:t>
      </w:r>
      <w:r>
        <w:rPr>
          <w:rFonts w:cs="Arial"/>
          <w:lang w:val="en-CA" w:eastAsia="en-CA"/>
        </w:rPr>
        <w:t xml:space="preserve">systems to that platform. This will result in cost avoidance for many and duplicate systems and support for those systems, and automation of current manual processes. This will further result in lower FTE costs with fewer people required to execute the processes and/or spend time manually resolving incidents and problems. </w:t>
      </w:r>
    </w:p>
    <w:p w:rsidR="00F80C28" w:rsidRPr="00AF4AA4" w:rsidRDefault="00BF7CC7" w:rsidP="001E0372">
      <w:pPr>
        <w:pStyle w:val="ListParagraph"/>
        <w:numPr>
          <w:ilvl w:val="0"/>
          <w:numId w:val="14"/>
        </w:numPr>
        <w:rPr>
          <w:rFonts w:cs="Arial"/>
          <w:lang w:val="en-CA" w:eastAsia="en-CA"/>
        </w:rPr>
      </w:pPr>
      <w:r>
        <w:rPr>
          <w:rFonts w:cs="Arial"/>
          <w:lang w:val="en-CA" w:eastAsia="en-CA"/>
        </w:rPr>
        <w:t xml:space="preserve">Reporting savings is based on improved intelligence enabling better and timely decision making. This will result in </w:t>
      </w:r>
      <w:r w:rsidR="00243FDF">
        <w:rPr>
          <w:rFonts w:cs="Arial"/>
          <w:lang w:val="en-CA" w:eastAsia="en-CA"/>
        </w:rPr>
        <w:t xml:space="preserve">a percent reduction in overall IT operating costs. </w:t>
      </w:r>
    </w:p>
    <w:tbl>
      <w:tblPr>
        <w:tblStyle w:val="TableGrid"/>
        <w:tblW w:w="0" w:type="auto"/>
        <w:tblLook w:val="04A0"/>
      </w:tblPr>
      <w:tblGrid>
        <w:gridCol w:w="2720"/>
        <w:gridCol w:w="1417"/>
        <w:gridCol w:w="1417"/>
        <w:gridCol w:w="1441"/>
        <w:gridCol w:w="1418"/>
        <w:gridCol w:w="1418"/>
        <w:gridCol w:w="1442"/>
      </w:tblGrid>
      <w:tr w:rsidR="00F80C28" w:rsidRPr="005E5C8D" w:rsidTr="00892835">
        <w:tc>
          <w:tcPr>
            <w:tcW w:w="2720" w:type="dxa"/>
          </w:tcPr>
          <w:p w:rsidR="00F80C28" w:rsidRPr="005E5C8D" w:rsidRDefault="00F80C28" w:rsidP="00892835">
            <w:pPr>
              <w:autoSpaceDE w:val="0"/>
              <w:autoSpaceDN w:val="0"/>
              <w:adjustRightInd w:val="0"/>
              <w:rPr>
                <w:rFonts w:cs="Arial"/>
                <w:b/>
              </w:rPr>
            </w:pPr>
            <w:r>
              <w:rPr>
                <w:rFonts w:cs="Arial"/>
                <w:b/>
              </w:rPr>
              <w:lastRenderedPageBreak/>
              <w:t>SAVINGS</w:t>
            </w:r>
          </w:p>
        </w:tc>
        <w:tc>
          <w:tcPr>
            <w:tcW w:w="1417" w:type="dxa"/>
          </w:tcPr>
          <w:p w:rsidR="00F80C28" w:rsidRPr="005E5C8D" w:rsidRDefault="00F80C28" w:rsidP="00892835">
            <w:pPr>
              <w:autoSpaceDE w:val="0"/>
              <w:autoSpaceDN w:val="0"/>
              <w:adjustRightInd w:val="0"/>
              <w:rPr>
                <w:rFonts w:cs="Arial"/>
                <w:b/>
              </w:rPr>
            </w:pPr>
            <w:r>
              <w:rPr>
                <w:rFonts w:cs="Arial"/>
                <w:b/>
              </w:rPr>
              <w:t>UBC IT</w:t>
            </w:r>
          </w:p>
        </w:tc>
        <w:tc>
          <w:tcPr>
            <w:tcW w:w="1417" w:type="dxa"/>
          </w:tcPr>
          <w:p w:rsidR="00F80C28" w:rsidRPr="005E5C8D" w:rsidRDefault="00F80C28" w:rsidP="00892835">
            <w:pPr>
              <w:autoSpaceDE w:val="0"/>
              <w:autoSpaceDN w:val="0"/>
              <w:adjustRightInd w:val="0"/>
              <w:rPr>
                <w:rFonts w:cs="Arial"/>
                <w:b/>
              </w:rPr>
            </w:pPr>
            <w:proofErr w:type="spellStart"/>
            <w:r>
              <w:rPr>
                <w:rFonts w:cs="Arial"/>
                <w:b/>
              </w:rPr>
              <w:t>MedIT</w:t>
            </w:r>
            <w:proofErr w:type="spellEnd"/>
          </w:p>
        </w:tc>
        <w:tc>
          <w:tcPr>
            <w:tcW w:w="1441" w:type="dxa"/>
          </w:tcPr>
          <w:p w:rsidR="00F80C28" w:rsidRPr="005E5C8D" w:rsidRDefault="00F80C28" w:rsidP="00892835">
            <w:pPr>
              <w:autoSpaceDE w:val="0"/>
              <w:autoSpaceDN w:val="0"/>
              <w:adjustRightInd w:val="0"/>
              <w:rPr>
                <w:rFonts w:cs="Arial"/>
                <w:b/>
              </w:rPr>
            </w:pPr>
            <w:r>
              <w:rPr>
                <w:rFonts w:cs="Arial"/>
                <w:b/>
              </w:rPr>
              <w:t>Sauder LTS</w:t>
            </w:r>
          </w:p>
        </w:tc>
        <w:tc>
          <w:tcPr>
            <w:tcW w:w="1418" w:type="dxa"/>
          </w:tcPr>
          <w:p w:rsidR="00F80C28" w:rsidRPr="005E5C8D" w:rsidRDefault="00F80C28" w:rsidP="00892835">
            <w:pPr>
              <w:autoSpaceDE w:val="0"/>
              <w:autoSpaceDN w:val="0"/>
              <w:adjustRightInd w:val="0"/>
              <w:rPr>
                <w:rFonts w:cs="Arial"/>
                <w:b/>
              </w:rPr>
            </w:pPr>
            <w:r>
              <w:rPr>
                <w:rFonts w:cs="Arial"/>
                <w:b/>
              </w:rPr>
              <w:t>CTLT</w:t>
            </w:r>
          </w:p>
        </w:tc>
        <w:tc>
          <w:tcPr>
            <w:tcW w:w="1418" w:type="dxa"/>
          </w:tcPr>
          <w:p w:rsidR="00F80C28" w:rsidRPr="005E5C8D" w:rsidRDefault="00F80C28" w:rsidP="00892835">
            <w:pPr>
              <w:autoSpaceDE w:val="0"/>
              <w:autoSpaceDN w:val="0"/>
              <w:adjustRightInd w:val="0"/>
              <w:rPr>
                <w:rFonts w:cs="Arial"/>
                <w:b/>
              </w:rPr>
            </w:pPr>
            <w:r>
              <w:rPr>
                <w:rFonts w:cs="Arial"/>
                <w:b/>
              </w:rPr>
              <w:t>App Science</w:t>
            </w:r>
          </w:p>
        </w:tc>
        <w:tc>
          <w:tcPr>
            <w:tcW w:w="1442" w:type="dxa"/>
          </w:tcPr>
          <w:p w:rsidR="00F80C28" w:rsidRPr="005E5C8D" w:rsidRDefault="00F80C28" w:rsidP="00892835">
            <w:pPr>
              <w:autoSpaceDE w:val="0"/>
              <w:autoSpaceDN w:val="0"/>
              <w:adjustRightInd w:val="0"/>
              <w:rPr>
                <w:rFonts w:cs="Arial"/>
                <w:b/>
              </w:rPr>
            </w:pPr>
            <w:r>
              <w:rPr>
                <w:rFonts w:cs="Arial"/>
                <w:b/>
              </w:rPr>
              <w:t>Arts ISIT</w:t>
            </w:r>
          </w:p>
        </w:tc>
      </w:tr>
      <w:tr w:rsidR="00F80C28" w:rsidTr="00892835">
        <w:tc>
          <w:tcPr>
            <w:tcW w:w="2720" w:type="dxa"/>
          </w:tcPr>
          <w:p w:rsidR="00243FDF" w:rsidRDefault="00F80C28" w:rsidP="00892835">
            <w:pPr>
              <w:autoSpaceDE w:val="0"/>
              <w:autoSpaceDN w:val="0"/>
              <w:adjustRightInd w:val="0"/>
              <w:rPr>
                <w:rFonts w:cs="Arial"/>
              </w:rPr>
            </w:pPr>
            <w:r>
              <w:rPr>
                <w:rFonts w:cs="Arial"/>
              </w:rPr>
              <w:t xml:space="preserve">Customer Service </w:t>
            </w:r>
          </w:p>
          <w:p w:rsidR="00F80C28" w:rsidRPr="00243FDF" w:rsidRDefault="00243FDF" w:rsidP="00892835">
            <w:pPr>
              <w:autoSpaceDE w:val="0"/>
              <w:autoSpaceDN w:val="0"/>
              <w:adjustRightInd w:val="0"/>
              <w:rPr>
                <w:rFonts w:cs="Arial"/>
                <w:color w:val="0070C0"/>
              </w:rPr>
            </w:pPr>
            <w:r w:rsidRPr="00243FDF">
              <w:rPr>
                <w:rFonts w:cs="Arial"/>
                <w:color w:val="0070C0"/>
                <w:sz w:val="20"/>
              </w:rPr>
              <w:t>(x% lower ITSC costs)</w:t>
            </w:r>
          </w:p>
        </w:tc>
        <w:tc>
          <w:tcPr>
            <w:tcW w:w="1417" w:type="dxa"/>
          </w:tcPr>
          <w:p w:rsidR="00F80C28" w:rsidRPr="00243FDF" w:rsidRDefault="00AF4AA4" w:rsidP="00892835">
            <w:pPr>
              <w:autoSpaceDE w:val="0"/>
              <w:autoSpaceDN w:val="0"/>
              <w:adjustRightInd w:val="0"/>
              <w:rPr>
                <w:rFonts w:cs="Arial"/>
                <w:color w:val="0070C0"/>
              </w:rPr>
            </w:pPr>
            <w:r>
              <w:rPr>
                <w:rFonts w:cs="Arial"/>
                <w:color w:val="0070C0"/>
              </w:rPr>
              <w:t>Jennifer B</w:t>
            </w:r>
          </w:p>
        </w:tc>
        <w:tc>
          <w:tcPr>
            <w:tcW w:w="1417" w:type="dxa"/>
          </w:tcPr>
          <w:p w:rsidR="00F80C28" w:rsidRPr="00243FDF" w:rsidRDefault="00AF4AA4" w:rsidP="00892835">
            <w:pPr>
              <w:autoSpaceDE w:val="0"/>
              <w:autoSpaceDN w:val="0"/>
              <w:adjustRightInd w:val="0"/>
              <w:rPr>
                <w:rFonts w:cs="Arial"/>
                <w:color w:val="0070C0"/>
              </w:rPr>
            </w:pPr>
            <w:r>
              <w:rPr>
                <w:rFonts w:cs="Arial"/>
                <w:color w:val="0070C0"/>
              </w:rPr>
              <w:t>Mike C</w:t>
            </w:r>
          </w:p>
        </w:tc>
        <w:tc>
          <w:tcPr>
            <w:tcW w:w="1441" w:type="dxa"/>
          </w:tcPr>
          <w:p w:rsidR="00F80C28" w:rsidRPr="00243FDF" w:rsidRDefault="00AF4AA4" w:rsidP="00892835">
            <w:pPr>
              <w:autoSpaceDE w:val="0"/>
              <w:autoSpaceDN w:val="0"/>
              <w:adjustRightInd w:val="0"/>
              <w:rPr>
                <w:rFonts w:cs="Arial"/>
                <w:color w:val="0070C0"/>
              </w:rPr>
            </w:pPr>
            <w:r>
              <w:rPr>
                <w:rFonts w:cs="Arial"/>
                <w:color w:val="0070C0"/>
              </w:rPr>
              <w:t>Vivian</w:t>
            </w:r>
          </w:p>
        </w:tc>
        <w:tc>
          <w:tcPr>
            <w:tcW w:w="1418" w:type="dxa"/>
          </w:tcPr>
          <w:p w:rsidR="00F80C28" w:rsidRPr="00243FDF" w:rsidRDefault="00AF4AA4" w:rsidP="00892835">
            <w:pPr>
              <w:autoSpaceDE w:val="0"/>
              <w:autoSpaceDN w:val="0"/>
              <w:adjustRightInd w:val="0"/>
              <w:rPr>
                <w:rFonts w:cs="Arial"/>
                <w:color w:val="0070C0"/>
              </w:rPr>
            </w:pPr>
            <w:r>
              <w:rPr>
                <w:rFonts w:cs="Arial"/>
                <w:color w:val="0070C0"/>
              </w:rPr>
              <w:t>Marianne</w:t>
            </w:r>
          </w:p>
        </w:tc>
        <w:tc>
          <w:tcPr>
            <w:tcW w:w="1418" w:type="dxa"/>
          </w:tcPr>
          <w:p w:rsidR="00F80C28" w:rsidRPr="00243FDF" w:rsidRDefault="00AF4AA4" w:rsidP="00892835">
            <w:pPr>
              <w:autoSpaceDE w:val="0"/>
              <w:autoSpaceDN w:val="0"/>
              <w:adjustRightInd w:val="0"/>
              <w:rPr>
                <w:rFonts w:cs="Arial"/>
                <w:color w:val="0070C0"/>
              </w:rPr>
            </w:pPr>
            <w:r>
              <w:rPr>
                <w:rFonts w:cs="Arial"/>
                <w:color w:val="0070C0"/>
              </w:rPr>
              <w:t>Luca</w:t>
            </w:r>
          </w:p>
        </w:tc>
        <w:tc>
          <w:tcPr>
            <w:tcW w:w="1442" w:type="dxa"/>
          </w:tcPr>
          <w:p w:rsidR="00F80C28" w:rsidRPr="00243FDF" w:rsidRDefault="00AF4AA4" w:rsidP="00892835">
            <w:pPr>
              <w:autoSpaceDE w:val="0"/>
              <w:autoSpaceDN w:val="0"/>
              <w:adjustRightInd w:val="0"/>
              <w:rPr>
                <w:rFonts w:cs="Arial"/>
                <w:color w:val="0070C0"/>
              </w:rPr>
            </w:pPr>
            <w:r>
              <w:rPr>
                <w:rFonts w:cs="Arial"/>
                <w:color w:val="0070C0"/>
              </w:rPr>
              <w:t>Ricardo</w:t>
            </w:r>
          </w:p>
        </w:tc>
      </w:tr>
      <w:tr w:rsidR="00AF4AA4" w:rsidTr="00892835">
        <w:tc>
          <w:tcPr>
            <w:tcW w:w="2720" w:type="dxa"/>
          </w:tcPr>
          <w:p w:rsidR="00AF4AA4" w:rsidRDefault="00AF4AA4" w:rsidP="00892835">
            <w:pPr>
              <w:autoSpaceDE w:val="0"/>
              <w:autoSpaceDN w:val="0"/>
              <w:adjustRightInd w:val="0"/>
              <w:rPr>
                <w:rFonts w:cs="Arial"/>
              </w:rPr>
            </w:pPr>
            <w:r>
              <w:rPr>
                <w:rFonts w:cs="Arial"/>
              </w:rPr>
              <w:t>Process efficiency &amp; integration</w:t>
            </w:r>
          </w:p>
          <w:p w:rsidR="00AF4AA4" w:rsidRPr="00243FDF" w:rsidRDefault="00AF4AA4" w:rsidP="00892835">
            <w:pPr>
              <w:autoSpaceDE w:val="0"/>
              <w:autoSpaceDN w:val="0"/>
              <w:adjustRightInd w:val="0"/>
              <w:rPr>
                <w:rFonts w:cs="Arial"/>
                <w:color w:val="0070C0"/>
              </w:rPr>
            </w:pPr>
            <w:r w:rsidRPr="00243FDF">
              <w:rPr>
                <w:rFonts w:cs="Arial"/>
                <w:color w:val="0070C0"/>
                <w:sz w:val="20"/>
              </w:rPr>
              <w:t xml:space="preserve">(x% lower </w:t>
            </w:r>
            <w:r>
              <w:rPr>
                <w:rFonts w:cs="Arial"/>
                <w:color w:val="0070C0"/>
                <w:sz w:val="20"/>
              </w:rPr>
              <w:t>overall IT</w:t>
            </w:r>
            <w:r w:rsidRPr="00243FDF">
              <w:rPr>
                <w:rFonts w:cs="Arial"/>
                <w:color w:val="0070C0"/>
                <w:sz w:val="20"/>
              </w:rPr>
              <w:t xml:space="preserve"> costs)</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Michael T</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Christopher</w:t>
            </w:r>
          </w:p>
        </w:tc>
        <w:tc>
          <w:tcPr>
            <w:tcW w:w="1441" w:type="dxa"/>
          </w:tcPr>
          <w:p w:rsidR="00AF4AA4" w:rsidRPr="00243FDF" w:rsidRDefault="00AF4AA4" w:rsidP="00892835">
            <w:pPr>
              <w:autoSpaceDE w:val="0"/>
              <w:autoSpaceDN w:val="0"/>
              <w:adjustRightInd w:val="0"/>
              <w:rPr>
                <w:rFonts w:cs="Arial"/>
                <w:color w:val="0070C0"/>
              </w:rPr>
            </w:pPr>
            <w:r>
              <w:rPr>
                <w:rFonts w:cs="Arial"/>
                <w:color w:val="0070C0"/>
              </w:rPr>
              <w:t>Vivian</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Marianne</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Luca</w:t>
            </w:r>
          </w:p>
        </w:tc>
        <w:tc>
          <w:tcPr>
            <w:tcW w:w="1442" w:type="dxa"/>
          </w:tcPr>
          <w:p w:rsidR="00AF4AA4" w:rsidRPr="00243FDF" w:rsidRDefault="00AF4AA4" w:rsidP="00892835">
            <w:pPr>
              <w:autoSpaceDE w:val="0"/>
              <w:autoSpaceDN w:val="0"/>
              <w:adjustRightInd w:val="0"/>
              <w:rPr>
                <w:rFonts w:cs="Arial"/>
                <w:color w:val="0070C0"/>
              </w:rPr>
            </w:pPr>
            <w:r>
              <w:rPr>
                <w:rFonts w:cs="Arial"/>
                <w:color w:val="0070C0"/>
              </w:rPr>
              <w:t>Ricardo</w:t>
            </w:r>
          </w:p>
        </w:tc>
      </w:tr>
      <w:tr w:rsidR="00AF4AA4" w:rsidTr="00892835">
        <w:tc>
          <w:tcPr>
            <w:tcW w:w="2720" w:type="dxa"/>
          </w:tcPr>
          <w:p w:rsidR="00AF4AA4" w:rsidRDefault="00AF4AA4" w:rsidP="00892835">
            <w:pPr>
              <w:autoSpaceDE w:val="0"/>
              <w:autoSpaceDN w:val="0"/>
              <w:adjustRightInd w:val="0"/>
              <w:rPr>
                <w:rFonts w:cs="Arial"/>
              </w:rPr>
            </w:pPr>
            <w:r>
              <w:rPr>
                <w:rFonts w:cs="Arial"/>
              </w:rPr>
              <w:t>System integration &amp; automation</w:t>
            </w:r>
          </w:p>
          <w:p w:rsidR="00AF4AA4" w:rsidRPr="00243FDF" w:rsidRDefault="00AF4AA4" w:rsidP="00243FDF">
            <w:pPr>
              <w:autoSpaceDE w:val="0"/>
              <w:autoSpaceDN w:val="0"/>
              <w:adjustRightInd w:val="0"/>
              <w:rPr>
                <w:rFonts w:cs="Arial"/>
                <w:color w:val="0070C0"/>
              </w:rPr>
            </w:pPr>
            <w:r w:rsidRPr="00243FDF">
              <w:rPr>
                <w:rFonts w:cs="Arial"/>
                <w:color w:val="0070C0"/>
                <w:sz w:val="20"/>
              </w:rPr>
              <w:t xml:space="preserve">(x% lower </w:t>
            </w:r>
            <w:r>
              <w:rPr>
                <w:rFonts w:cs="Arial"/>
                <w:color w:val="0070C0"/>
                <w:sz w:val="20"/>
              </w:rPr>
              <w:t>FTE costs; $ cost avoidance for duplicate systems</w:t>
            </w:r>
            <w:r w:rsidRPr="00243FDF">
              <w:rPr>
                <w:rFonts w:cs="Arial"/>
                <w:color w:val="0070C0"/>
                <w:sz w:val="20"/>
              </w:rPr>
              <w:t>)</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Michael T</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Christopher</w:t>
            </w:r>
          </w:p>
        </w:tc>
        <w:tc>
          <w:tcPr>
            <w:tcW w:w="1441" w:type="dxa"/>
          </w:tcPr>
          <w:p w:rsidR="00AF4AA4" w:rsidRPr="00243FDF" w:rsidRDefault="00AF4AA4" w:rsidP="00892835">
            <w:pPr>
              <w:autoSpaceDE w:val="0"/>
              <w:autoSpaceDN w:val="0"/>
              <w:adjustRightInd w:val="0"/>
              <w:rPr>
                <w:rFonts w:cs="Arial"/>
                <w:color w:val="0070C0"/>
              </w:rPr>
            </w:pPr>
            <w:r>
              <w:rPr>
                <w:rFonts w:cs="Arial"/>
                <w:color w:val="0070C0"/>
              </w:rPr>
              <w:t>Vivian</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Marianne</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Luca</w:t>
            </w:r>
          </w:p>
        </w:tc>
        <w:tc>
          <w:tcPr>
            <w:tcW w:w="1442" w:type="dxa"/>
          </w:tcPr>
          <w:p w:rsidR="00AF4AA4" w:rsidRPr="00243FDF" w:rsidRDefault="00AF4AA4" w:rsidP="00892835">
            <w:pPr>
              <w:autoSpaceDE w:val="0"/>
              <w:autoSpaceDN w:val="0"/>
              <w:adjustRightInd w:val="0"/>
              <w:rPr>
                <w:rFonts w:cs="Arial"/>
                <w:color w:val="0070C0"/>
              </w:rPr>
            </w:pPr>
            <w:r>
              <w:rPr>
                <w:rFonts w:cs="Arial"/>
                <w:color w:val="0070C0"/>
              </w:rPr>
              <w:t>Ricardo</w:t>
            </w:r>
          </w:p>
        </w:tc>
      </w:tr>
      <w:tr w:rsidR="00AF4AA4" w:rsidTr="00892835">
        <w:tc>
          <w:tcPr>
            <w:tcW w:w="2720" w:type="dxa"/>
          </w:tcPr>
          <w:p w:rsidR="00AF4AA4" w:rsidRDefault="00AF4AA4" w:rsidP="00892835">
            <w:pPr>
              <w:autoSpaceDE w:val="0"/>
              <w:autoSpaceDN w:val="0"/>
              <w:adjustRightInd w:val="0"/>
              <w:rPr>
                <w:rFonts w:cs="Arial"/>
              </w:rPr>
            </w:pPr>
            <w:r>
              <w:rPr>
                <w:rFonts w:cs="Arial"/>
              </w:rPr>
              <w:t>Reporting</w:t>
            </w:r>
          </w:p>
          <w:p w:rsidR="00AF4AA4" w:rsidRPr="00243FDF" w:rsidRDefault="00AF4AA4" w:rsidP="00243FDF">
            <w:pPr>
              <w:autoSpaceDE w:val="0"/>
              <w:autoSpaceDN w:val="0"/>
              <w:adjustRightInd w:val="0"/>
              <w:rPr>
                <w:rFonts w:cs="Arial"/>
                <w:color w:val="0070C0"/>
              </w:rPr>
            </w:pPr>
            <w:r w:rsidRPr="00243FDF">
              <w:rPr>
                <w:rFonts w:cs="Arial"/>
                <w:color w:val="0070C0"/>
                <w:sz w:val="20"/>
              </w:rPr>
              <w:t xml:space="preserve">(x% lower </w:t>
            </w:r>
            <w:r>
              <w:rPr>
                <w:rFonts w:cs="Arial"/>
                <w:color w:val="0070C0"/>
                <w:sz w:val="20"/>
              </w:rPr>
              <w:t>overall IT</w:t>
            </w:r>
            <w:r w:rsidRPr="00243FDF">
              <w:rPr>
                <w:rFonts w:cs="Arial"/>
                <w:color w:val="0070C0"/>
                <w:sz w:val="20"/>
              </w:rPr>
              <w:t xml:space="preserve"> costs)</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Jennifer B</w:t>
            </w:r>
          </w:p>
        </w:tc>
        <w:tc>
          <w:tcPr>
            <w:tcW w:w="1417" w:type="dxa"/>
          </w:tcPr>
          <w:p w:rsidR="00AF4AA4" w:rsidRPr="00243FDF" w:rsidRDefault="00AF4AA4" w:rsidP="00892835">
            <w:pPr>
              <w:autoSpaceDE w:val="0"/>
              <w:autoSpaceDN w:val="0"/>
              <w:adjustRightInd w:val="0"/>
              <w:rPr>
                <w:rFonts w:cs="Arial"/>
                <w:color w:val="0070C0"/>
              </w:rPr>
            </w:pPr>
            <w:r>
              <w:rPr>
                <w:rFonts w:cs="Arial"/>
                <w:color w:val="0070C0"/>
              </w:rPr>
              <w:t>Christopher</w:t>
            </w:r>
          </w:p>
        </w:tc>
        <w:tc>
          <w:tcPr>
            <w:tcW w:w="1441" w:type="dxa"/>
          </w:tcPr>
          <w:p w:rsidR="00AF4AA4" w:rsidRPr="00243FDF" w:rsidRDefault="00AF4AA4" w:rsidP="00892835">
            <w:pPr>
              <w:autoSpaceDE w:val="0"/>
              <w:autoSpaceDN w:val="0"/>
              <w:adjustRightInd w:val="0"/>
              <w:rPr>
                <w:rFonts w:cs="Arial"/>
                <w:color w:val="0070C0"/>
              </w:rPr>
            </w:pPr>
            <w:r>
              <w:rPr>
                <w:rFonts w:cs="Arial"/>
                <w:color w:val="0070C0"/>
              </w:rPr>
              <w:t>Vivian</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Marianne</w:t>
            </w:r>
          </w:p>
        </w:tc>
        <w:tc>
          <w:tcPr>
            <w:tcW w:w="1418" w:type="dxa"/>
          </w:tcPr>
          <w:p w:rsidR="00AF4AA4" w:rsidRPr="00243FDF" w:rsidRDefault="00AF4AA4" w:rsidP="00892835">
            <w:pPr>
              <w:autoSpaceDE w:val="0"/>
              <w:autoSpaceDN w:val="0"/>
              <w:adjustRightInd w:val="0"/>
              <w:rPr>
                <w:rFonts w:cs="Arial"/>
                <w:color w:val="0070C0"/>
              </w:rPr>
            </w:pPr>
            <w:r>
              <w:rPr>
                <w:rFonts w:cs="Arial"/>
                <w:color w:val="0070C0"/>
              </w:rPr>
              <w:t>Luca</w:t>
            </w:r>
          </w:p>
        </w:tc>
        <w:tc>
          <w:tcPr>
            <w:tcW w:w="1442" w:type="dxa"/>
          </w:tcPr>
          <w:p w:rsidR="00AF4AA4" w:rsidRPr="00243FDF" w:rsidRDefault="00AF4AA4" w:rsidP="00892835">
            <w:pPr>
              <w:autoSpaceDE w:val="0"/>
              <w:autoSpaceDN w:val="0"/>
              <w:adjustRightInd w:val="0"/>
              <w:rPr>
                <w:rFonts w:cs="Arial"/>
                <w:color w:val="0070C0"/>
              </w:rPr>
            </w:pPr>
            <w:r>
              <w:rPr>
                <w:rFonts w:cs="Arial"/>
                <w:color w:val="0070C0"/>
              </w:rPr>
              <w:t>Ricardo</w:t>
            </w:r>
          </w:p>
        </w:tc>
      </w:tr>
      <w:tr w:rsidR="0048477F" w:rsidTr="00892835">
        <w:tc>
          <w:tcPr>
            <w:tcW w:w="2720" w:type="dxa"/>
            <w:tcBorders>
              <w:bottom w:val="single" w:sz="4" w:space="0" w:color="000000" w:themeColor="text1"/>
            </w:tcBorders>
          </w:tcPr>
          <w:p w:rsidR="0048477F" w:rsidRDefault="0048477F" w:rsidP="00892835">
            <w:pPr>
              <w:autoSpaceDE w:val="0"/>
              <w:autoSpaceDN w:val="0"/>
              <w:adjustRightInd w:val="0"/>
              <w:rPr>
                <w:rFonts w:cs="Arial"/>
              </w:rPr>
            </w:pPr>
            <w:r>
              <w:rPr>
                <w:rFonts w:cs="Arial"/>
              </w:rPr>
              <w:t>Annual Savings</w:t>
            </w:r>
          </w:p>
        </w:tc>
        <w:tc>
          <w:tcPr>
            <w:tcW w:w="1417"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150,000</w:t>
            </w:r>
          </w:p>
        </w:tc>
        <w:tc>
          <w:tcPr>
            <w:tcW w:w="1417"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100,000</w:t>
            </w:r>
          </w:p>
        </w:tc>
        <w:tc>
          <w:tcPr>
            <w:tcW w:w="1441"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50,000</w:t>
            </w:r>
          </w:p>
        </w:tc>
        <w:tc>
          <w:tcPr>
            <w:tcW w:w="1418"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50,000</w:t>
            </w:r>
          </w:p>
        </w:tc>
        <w:tc>
          <w:tcPr>
            <w:tcW w:w="1418"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50,000</w:t>
            </w:r>
          </w:p>
        </w:tc>
        <w:tc>
          <w:tcPr>
            <w:tcW w:w="1442"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50,000</w:t>
            </w:r>
          </w:p>
        </w:tc>
      </w:tr>
      <w:tr w:rsidR="0048477F" w:rsidTr="00892835">
        <w:tc>
          <w:tcPr>
            <w:tcW w:w="2720" w:type="dxa"/>
            <w:tcBorders>
              <w:bottom w:val="single" w:sz="4" w:space="0" w:color="000000" w:themeColor="text1"/>
            </w:tcBorders>
          </w:tcPr>
          <w:p w:rsidR="0048477F" w:rsidRDefault="0048477F" w:rsidP="00F80C28">
            <w:pPr>
              <w:autoSpaceDE w:val="0"/>
              <w:autoSpaceDN w:val="0"/>
              <w:adjustRightInd w:val="0"/>
              <w:rPr>
                <w:rFonts w:cs="Arial"/>
              </w:rPr>
            </w:pPr>
            <w:r>
              <w:rPr>
                <w:rFonts w:cs="Arial"/>
              </w:rPr>
              <w:t>X4 for YEARS 2-4</w:t>
            </w:r>
          </w:p>
        </w:tc>
        <w:tc>
          <w:tcPr>
            <w:tcW w:w="1417"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600,000</w:t>
            </w:r>
          </w:p>
        </w:tc>
        <w:tc>
          <w:tcPr>
            <w:tcW w:w="1417"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400,000</w:t>
            </w:r>
          </w:p>
        </w:tc>
        <w:tc>
          <w:tcPr>
            <w:tcW w:w="1441"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200,000</w:t>
            </w:r>
          </w:p>
        </w:tc>
        <w:tc>
          <w:tcPr>
            <w:tcW w:w="1418"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200,000</w:t>
            </w:r>
          </w:p>
        </w:tc>
        <w:tc>
          <w:tcPr>
            <w:tcW w:w="1418"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200,000</w:t>
            </w:r>
          </w:p>
        </w:tc>
        <w:tc>
          <w:tcPr>
            <w:tcW w:w="1442" w:type="dxa"/>
            <w:tcBorders>
              <w:bottom w:val="single" w:sz="4" w:space="0" w:color="000000" w:themeColor="text1"/>
            </w:tcBorders>
          </w:tcPr>
          <w:p w:rsidR="0048477F" w:rsidRPr="00243FDF" w:rsidRDefault="0048477F" w:rsidP="00892835">
            <w:pPr>
              <w:autoSpaceDE w:val="0"/>
              <w:autoSpaceDN w:val="0"/>
              <w:adjustRightInd w:val="0"/>
              <w:rPr>
                <w:rFonts w:cs="Arial"/>
                <w:color w:val="0070C0"/>
              </w:rPr>
            </w:pPr>
            <w:r>
              <w:rPr>
                <w:rFonts w:cs="Arial"/>
                <w:color w:val="0070C0"/>
              </w:rPr>
              <w:t>200,000</w:t>
            </w:r>
          </w:p>
        </w:tc>
      </w:tr>
      <w:tr w:rsidR="0048477F" w:rsidRPr="005E5C8D" w:rsidTr="00892835">
        <w:tc>
          <w:tcPr>
            <w:tcW w:w="2720" w:type="dxa"/>
            <w:shd w:val="clear" w:color="auto" w:fill="D9D9D9" w:themeFill="background1" w:themeFillShade="D9"/>
          </w:tcPr>
          <w:p w:rsidR="0048477F" w:rsidRPr="005E5C8D" w:rsidRDefault="0048477F" w:rsidP="00F80C28">
            <w:pPr>
              <w:autoSpaceDE w:val="0"/>
              <w:autoSpaceDN w:val="0"/>
              <w:adjustRightInd w:val="0"/>
              <w:rPr>
                <w:rFonts w:cs="Arial"/>
                <w:b/>
              </w:rPr>
            </w:pPr>
            <w:r w:rsidRPr="005E5C8D">
              <w:rPr>
                <w:rFonts w:cs="Arial"/>
                <w:b/>
              </w:rPr>
              <w:t xml:space="preserve">5 YEAR </w:t>
            </w:r>
            <w:r>
              <w:rPr>
                <w:rFonts w:cs="Arial"/>
                <w:b/>
              </w:rPr>
              <w:t>SAVINGS</w:t>
            </w:r>
          </w:p>
        </w:tc>
        <w:tc>
          <w:tcPr>
            <w:tcW w:w="8553" w:type="dxa"/>
            <w:gridSpan w:val="6"/>
            <w:shd w:val="clear" w:color="auto" w:fill="D9D9D9" w:themeFill="background1" w:themeFillShade="D9"/>
          </w:tcPr>
          <w:p w:rsidR="0048477F" w:rsidRPr="00243FDF" w:rsidRDefault="0048477F" w:rsidP="00243FDF">
            <w:pPr>
              <w:autoSpaceDE w:val="0"/>
              <w:autoSpaceDN w:val="0"/>
              <w:adjustRightInd w:val="0"/>
              <w:rPr>
                <w:rFonts w:cs="Arial"/>
                <w:b/>
                <w:color w:val="0070C0"/>
              </w:rPr>
            </w:pPr>
            <w:r w:rsidRPr="00243FDF">
              <w:rPr>
                <w:rFonts w:cs="Arial"/>
                <w:b/>
                <w:color w:val="0070C0"/>
              </w:rPr>
              <w:t xml:space="preserve">$ </w:t>
            </w:r>
            <w:r>
              <w:rPr>
                <w:rFonts w:cs="Arial"/>
                <w:b/>
                <w:color w:val="0070C0"/>
              </w:rPr>
              <w:t>2,000,000</w:t>
            </w:r>
          </w:p>
        </w:tc>
      </w:tr>
    </w:tbl>
    <w:p w:rsidR="00AE4C74" w:rsidRDefault="00AE4C74" w:rsidP="00AF4AA4">
      <w:pPr>
        <w:pStyle w:val="Subtitle"/>
        <w:rPr>
          <w:rStyle w:val="IntenseEmphasis"/>
          <w:i w:val="0"/>
        </w:rPr>
      </w:pPr>
    </w:p>
    <w:p w:rsidR="00471EB3" w:rsidRPr="00AF4AA4" w:rsidRDefault="00471EB3" w:rsidP="00AE4C74">
      <w:pPr>
        <w:pStyle w:val="Heading2"/>
        <w:rPr>
          <w:rStyle w:val="IntenseEmphasis"/>
          <w:i w:val="0"/>
        </w:rPr>
      </w:pPr>
      <w:bookmarkStart w:id="9" w:name="_Toc286060929"/>
      <w:r w:rsidRPr="00AF4AA4">
        <w:rPr>
          <w:rStyle w:val="IntenseEmphasis"/>
          <w:i w:val="0"/>
        </w:rPr>
        <w:t xml:space="preserve">Estimated 5 Year </w:t>
      </w:r>
      <w:r w:rsidR="002C0095" w:rsidRPr="00AF4AA4">
        <w:rPr>
          <w:rStyle w:val="IntenseEmphasis"/>
          <w:i w:val="0"/>
        </w:rPr>
        <w:t>Total Cost of Ownership (TCO)</w:t>
      </w:r>
      <w:bookmarkEnd w:id="9"/>
    </w:p>
    <w:p w:rsidR="00F80C28" w:rsidRDefault="00471EB3" w:rsidP="00F80C28">
      <w:pPr>
        <w:autoSpaceDE w:val="0"/>
        <w:autoSpaceDN w:val="0"/>
        <w:adjustRightInd w:val="0"/>
        <w:rPr>
          <w:rFonts w:cs="Arial"/>
          <w:lang w:val="en-CA" w:eastAsia="en-CA"/>
        </w:rPr>
      </w:pPr>
      <w:r>
        <w:rPr>
          <w:rFonts w:cs="Arial"/>
          <w:lang w:val="en-CA" w:eastAsia="en-CA"/>
        </w:rPr>
        <w:t>Two Tool Suites are being studied via an RFP process. Costs are as follows:</w:t>
      </w:r>
      <w:r w:rsidR="00F80C28" w:rsidRPr="00F80C28">
        <w:rPr>
          <w:rFonts w:cs="Arial"/>
          <w:lang w:val="en-CA" w:eastAsia="en-CA"/>
        </w:rPr>
        <w:t xml:space="preserve"> </w:t>
      </w:r>
    </w:p>
    <w:p w:rsidR="00F80C28" w:rsidRDefault="00F80C28" w:rsidP="001E0372">
      <w:pPr>
        <w:pStyle w:val="ListParagraph"/>
        <w:numPr>
          <w:ilvl w:val="0"/>
          <w:numId w:val="13"/>
        </w:numPr>
        <w:autoSpaceDE w:val="0"/>
        <w:autoSpaceDN w:val="0"/>
        <w:adjustRightInd w:val="0"/>
        <w:rPr>
          <w:rFonts w:cs="Arial"/>
          <w:lang w:val="en-CA" w:eastAsia="en-CA"/>
        </w:rPr>
      </w:pPr>
      <w:r>
        <w:rPr>
          <w:rFonts w:cs="Arial"/>
          <w:lang w:val="en-CA" w:eastAsia="en-CA"/>
        </w:rPr>
        <w:t>B</w:t>
      </w:r>
      <w:r w:rsidRPr="005E5C8D">
        <w:rPr>
          <w:rFonts w:cs="Arial"/>
          <w:lang w:val="en-CA" w:eastAsia="en-CA"/>
        </w:rPr>
        <w:t>ased on required licenses for six ITSM partner groups for core ITSM processes including Service Desk, Self –Service and CMDB</w:t>
      </w:r>
      <w:r>
        <w:rPr>
          <w:rFonts w:cs="Arial"/>
          <w:lang w:val="en-CA" w:eastAsia="en-CA"/>
        </w:rPr>
        <w:t>; numbers increase in YEAR 2 to reflect phased deployment over two years.</w:t>
      </w:r>
    </w:p>
    <w:p w:rsidR="00F80C28" w:rsidRDefault="00F80C28" w:rsidP="001E0372">
      <w:pPr>
        <w:pStyle w:val="ListParagraph"/>
        <w:numPr>
          <w:ilvl w:val="0"/>
          <w:numId w:val="13"/>
        </w:numPr>
        <w:autoSpaceDE w:val="0"/>
        <w:autoSpaceDN w:val="0"/>
        <w:adjustRightInd w:val="0"/>
        <w:rPr>
          <w:rFonts w:cs="Arial"/>
          <w:lang w:val="en-CA" w:eastAsia="en-CA"/>
        </w:rPr>
      </w:pPr>
      <w:r>
        <w:rPr>
          <w:rFonts w:cs="Arial"/>
          <w:lang w:val="en-CA" w:eastAsia="en-CA"/>
        </w:rPr>
        <w:t>Implementation / upgrade costs include vendor and internal support required for YEARS 2-5.</w:t>
      </w:r>
    </w:p>
    <w:p w:rsidR="00471EB3" w:rsidRPr="00F80C28" w:rsidRDefault="00F80C28" w:rsidP="001E0372">
      <w:pPr>
        <w:pStyle w:val="ListParagraph"/>
        <w:numPr>
          <w:ilvl w:val="0"/>
          <w:numId w:val="13"/>
        </w:numPr>
        <w:autoSpaceDE w:val="0"/>
        <w:autoSpaceDN w:val="0"/>
        <w:adjustRightInd w:val="0"/>
        <w:rPr>
          <w:rFonts w:cs="Arial"/>
          <w:lang w:val="en-CA" w:eastAsia="en-CA"/>
        </w:rPr>
      </w:pPr>
      <w:r w:rsidRPr="005E5C8D">
        <w:rPr>
          <w:rFonts w:cs="Arial"/>
          <w:lang w:val="en-CA" w:eastAsia="en-CA"/>
        </w:rPr>
        <w:t xml:space="preserve"> </w:t>
      </w:r>
      <w:r>
        <w:rPr>
          <w:rFonts w:cs="Arial"/>
          <w:lang w:val="en-CA" w:eastAsia="en-CA"/>
        </w:rPr>
        <w:t>I</w:t>
      </w:r>
      <w:r w:rsidRPr="005E5C8D">
        <w:rPr>
          <w:rFonts w:cs="Arial"/>
          <w:lang w:val="en-CA" w:eastAsia="en-CA"/>
        </w:rPr>
        <w:t xml:space="preserve">nternal support costs </w:t>
      </w:r>
      <w:r>
        <w:rPr>
          <w:rFonts w:cs="Arial"/>
          <w:lang w:val="en-CA" w:eastAsia="en-CA"/>
        </w:rPr>
        <w:t xml:space="preserve">include FTE support + any infrastructure costs; they </w:t>
      </w:r>
      <w:r w:rsidRPr="005E5C8D">
        <w:rPr>
          <w:rFonts w:cs="Arial"/>
          <w:lang w:val="en-CA" w:eastAsia="en-CA"/>
        </w:rPr>
        <w:t xml:space="preserve">are higher </w:t>
      </w:r>
      <w:r>
        <w:rPr>
          <w:rFonts w:cs="Arial"/>
          <w:lang w:val="en-CA" w:eastAsia="en-CA"/>
        </w:rPr>
        <w:t>for</w:t>
      </w:r>
      <w:r w:rsidRPr="005E5C8D">
        <w:rPr>
          <w:rFonts w:cs="Arial"/>
          <w:lang w:val="en-CA" w:eastAsia="en-CA"/>
        </w:rPr>
        <w:t xml:space="preserve"> YEAR </w:t>
      </w:r>
      <w:r>
        <w:rPr>
          <w:rFonts w:cs="Arial"/>
          <w:lang w:val="en-CA" w:eastAsia="en-CA"/>
        </w:rPr>
        <w:t>1</w:t>
      </w:r>
      <w:r w:rsidRPr="005E5C8D">
        <w:rPr>
          <w:rFonts w:cs="Arial"/>
          <w:lang w:val="en-CA" w:eastAsia="en-CA"/>
        </w:rPr>
        <w:t xml:space="preserve"> to include training and initial implementation</w:t>
      </w:r>
      <w:r>
        <w:rPr>
          <w:rFonts w:cs="Arial"/>
          <w:lang w:val="en-CA" w:eastAsia="en-CA"/>
        </w:rPr>
        <w:t>.</w:t>
      </w:r>
    </w:p>
    <w:tbl>
      <w:tblPr>
        <w:tblStyle w:val="TableGrid"/>
        <w:tblW w:w="0" w:type="auto"/>
        <w:tblLook w:val="04A0"/>
      </w:tblPr>
      <w:tblGrid>
        <w:gridCol w:w="2720"/>
        <w:gridCol w:w="1417"/>
        <w:gridCol w:w="1417"/>
        <w:gridCol w:w="1441"/>
        <w:gridCol w:w="1418"/>
        <w:gridCol w:w="1418"/>
        <w:gridCol w:w="1442"/>
      </w:tblGrid>
      <w:tr w:rsidR="006D26E5" w:rsidRPr="005E5C8D" w:rsidTr="00892835">
        <w:tc>
          <w:tcPr>
            <w:tcW w:w="2720" w:type="dxa"/>
          </w:tcPr>
          <w:p w:rsidR="006D26E5" w:rsidRPr="005E5C8D" w:rsidRDefault="006D26E5" w:rsidP="007A2B8E">
            <w:pPr>
              <w:autoSpaceDE w:val="0"/>
              <w:autoSpaceDN w:val="0"/>
              <w:adjustRightInd w:val="0"/>
              <w:rPr>
                <w:rFonts w:cs="Arial"/>
                <w:b/>
              </w:rPr>
            </w:pPr>
          </w:p>
        </w:tc>
        <w:tc>
          <w:tcPr>
            <w:tcW w:w="8553" w:type="dxa"/>
            <w:gridSpan w:val="6"/>
            <w:shd w:val="clear" w:color="auto" w:fill="D9D9D9" w:themeFill="background1" w:themeFillShade="D9"/>
          </w:tcPr>
          <w:p w:rsidR="006D26E5" w:rsidRPr="005E5C8D" w:rsidRDefault="006D26E5" w:rsidP="007A2B8E">
            <w:pPr>
              <w:autoSpaceDE w:val="0"/>
              <w:autoSpaceDN w:val="0"/>
              <w:adjustRightInd w:val="0"/>
              <w:rPr>
                <w:rFonts w:cs="Arial"/>
                <w:b/>
              </w:rPr>
            </w:pPr>
            <w:r w:rsidRPr="005E5C8D">
              <w:rPr>
                <w:rFonts w:cs="Arial"/>
                <w:b/>
              </w:rPr>
              <w:t>Remedy</w:t>
            </w:r>
          </w:p>
        </w:tc>
      </w:tr>
      <w:tr w:rsidR="006D26E5" w:rsidRPr="005E5C8D" w:rsidTr="00471EB3">
        <w:tc>
          <w:tcPr>
            <w:tcW w:w="2720" w:type="dxa"/>
          </w:tcPr>
          <w:p w:rsidR="006D26E5" w:rsidRPr="005E5C8D" w:rsidRDefault="006D26E5" w:rsidP="007A2B8E">
            <w:pPr>
              <w:autoSpaceDE w:val="0"/>
              <w:autoSpaceDN w:val="0"/>
              <w:adjustRightInd w:val="0"/>
              <w:rPr>
                <w:rFonts w:cs="Arial"/>
                <w:b/>
              </w:rPr>
            </w:pPr>
            <w:r w:rsidRPr="005E5C8D">
              <w:rPr>
                <w:rFonts w:cs="Arial"/>
                <w:b/>
              </w:rPr>
              <w:t>COSTS</w:t>
            </w:r>
          </w:p>
        </w:tc>
        <w:tc>
          <w:tcPr>
            <w:tcW w:w="1417" w:type="dxa"/>
          </w:tcPr>
          <w:p w:rsidR="006D26E5" w:rsidRPr="005E5C8D" w:rsidRDefault="006D26E5" w:rsidP="00892835">
            <w:pPr>
              <w:autoSpaceDE w:val="0"/>
              <w:autoSpaceDN w:val="0"/>
              <w:adjustRightInd w:val="0"/>
              <w:rPr>
                <w:rFonts w:cs="Arial"/>
                <w:b/>
              </w:rPr>
            </w:pPr>
            <w:r w:rsidRPr="005E5C8D">
              <w:rPr>
                <w:rFonts w:cs="Arial"/>
                <w:b/>
              </w:rPr>
              <w:t>YEAR 1</w:t>
            </w:r>
          </w:p>
        </w:tc>
        <w:tc>
          <w:tcPr>
            <w:tcW w:w="1417" w:type="dxa"/>
          </w:tcPr>
          <w:p w:rsidR="006D26E5" w:rsidRPr="005E5C8D" w:rsidRDefault="006D26E5" w:rsidP="00892835">
            <w:pPr>
              <w:autoSpaceDE w:val="0"/>
              <w:autoSpaceDN w:val="0"/>
              <w:adjustRightInd w:val="0"/>
              <w:rPr>
                <w:rFonts w:cs="Arial"/>
                <w:b/>
              </w:rPr>
            </w:pPr>
            <w:r w:rsidRPr="005E5C8D">
              <w:rPr>
                <w:rFonts w:cs="Arial"/>
                <w:b/>
              </w:rPr>
              <w:t>YEAR 2</w:t>
            </w:r>
          </w:p>
        </w:tc>
        <w:tc>
          <w:tcPr>
            <w:tcW w:w="1441" w:type="dxa"/>
          </w:tcPr>
          <w:p w:rsidR="006D26E5" w:rsidRPr="005E5C8D" w:rsidRDefault="006D26E5" w:rsidP="00892835">
            <w:pPr>
              <w:autoSpaceDE w:val="0"/>
              <w:autoSpaceDN w:val="0"/>
              <w:adjustRightInd w:val="0"/>
              <w:rPr>
                <w:rFonts w:cs="Arial"/>
                <w:b/>
              </w:rPr>
            </w:pPr>
            <w:r w:rsidRPr="005E5C8D">
              <w:rPr>
                <w:rFonts w:cs="Arial"/>
                <w:b/>
              </w:rPr>
              <w:t>YEAR 3</w:t>
            </w:r>
          </w:p>
        </w:tc>
        <w:tc>
          <w:tcPr>
            <w:tcW w:w="1418" w:type="dxa"/>
          </w:tcPr>
          <w:p w:rsidR="006D26E5" w:rsidRPr="005E5C8D" w:rsidRDefault="006D26E5" w:rsidP="00892835">
            <w:pPr>
              <w:autoSpaceDE w:val="0"/>
              <w:autoSpaceDN w:val="0"/>
              <w:adjustRightInd w:val="0"/>
              <w:rPr>
                <w:rFonts w:cs="Arial"/>
                <w:b/>
              </w:rPr>
            </w:pPr>
            <w:r w:rsidRPr="005E5C8D">
              <w:rPr>
                <w:rFonts w:cs="Arial"/>
                <w:b/>
              </w:rPr>
              <w:t>YEAR 4</w:t>
            </w:r>
          </w:p>
        </w:tc>
        <w:tc>
          <w:tcPr>
            <w:tcW w:w="1418" w:type="dxa"/>
          </w:tcPr>
          <w:p w:rsidR="006D26E5" w:rsidRPr="005E5C8D" w:rsidRDefault="006D26E5" w:rsidP="00892835">
            <w:pPr>
              <w:autoSpaceDE w:val="0"/>
              <w:autoSpaceDN w:val="0"/>
              <w:adjustRightInd w:val="0"/>
              <w:rPr>
                <w:rFonts w:cs="Arial"/>
                <w:b/>
              </w:rPr>
            </w:pPr>
            <w:r w:rsidRPr="005E5C8D">
              <w:rPr>
                <w:rFonts w:cs="Arial"/>
                <w:b/>
              </w:rPr>
              <w:t>YEAR 5</w:t>
            </w:r>
          </w:p>
        </w:tc>
        <w:tc>
          <w:tcPr>
            <w:tcW w:w="1442" w:type="dxa"/>
          </w:tcPr>
          <w:p w:rsidR="006D26E5" w:rsidRPr="005E5C8D" w:rsidRDefault="006D26E5" w:rsidP="007A2B8E">
            <w:pPr>
              <w:autoSpaceDE w:val="0"/>
              <w:autoSpaceDN w:val="0"/>
              <w:adjustRightInd w:val="0"/>
              <w:rPr>
                <w:rFonts w:cs="Arial"/>
                <w:b/>
              </w:rPr>
            </w:pPr>
          </w:p>
        </w:tc>
      </w:tr>
      <w:tr w:rsidR="006D26E5" w:rsidTr="00471EB3">
        <w:tc>
          <w:tcPr>
            <w:tcW w:w="2720" w:type="dxa"/>
          </w:tcPr>
          <w:p w:rsidR="006D26E5" w:rsidRDefault="006D26E5" w:rsidP="006D26E5">
            <w:pPr>
              <w:autoSpaceDE w:val="0"/>
              <w:autoSpaceDN w:val="0"/>
              <w:adjustRightInd w:val="0"/>
              <w:rPr>
                <w:rFonts w:cs="Arial"/>
              </w:rPr>
            </w:pPr>
            <w:r>
              <w:rPr>
                <w:rFonts w:cs="Arial"/>
              </w:rPr>
              <w:t>License</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431,000</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99.000</w:t>
            </w:r>
          </w:p>
        </w:tc>
        <w:tc>
          <w:tcPr>
            <w:tcW w:w="1441"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68,000</w:t>
            </w:r>
          </w:p>
        </w:tc>
        <w:tc>
          <w:tcPr>
            <w:tcW w:w="1418" w:type="dxa"/>
          </w:tcPr>
          <w:p w:rsidR="006D26E5" w:rsidRPr="00243FDF" w:rsidRDefault="006D26E5" w:rsidP="007A2B8E">
            <w:pPr>
              <w:autoSpaceDE w:val="0"/>
              <w:autoSpaceDN w:val="0"/>
              <w:adjustRightInd w:val="0"/>
              <w:rPr>
                <w:rFonts w:cs="Arial"/>
                <w:color w:val="984806" w:themeColor="accent6" w:themeShade="80"/>
              </w:rPr>
            </w:pPr>
            <w:r w:rsidRPr="00243FDF">
              <w:rPr>
                <w:rFonts w:cs="Arial"/>
                <w:color w:val="984806" w:themeColor="accent6" w:themeShade="80"/>
              </w:rPr>
              <w:t>68,000</w:t>
            </w:r>
          </w:p>
        </w:tc>
        <w:tc>
          <w:tcPr>
            <w:tcW w:w="1418" w:type="dxa"/>
          </w:tcPr>
          <w:p w:rsidR="006D26E5" w:rsidRPr="00243FDF" w:rsidRDefault="006D26E5" w:rsidP="007A2B8E">
            <w:pPr>
              <w:autoSpaceDE w:val="0"/>
              <w:autoSpaceDN w:val="0"/>
              <w:adjustRightInd w:val="0"/>
              <w:rPr>
                <w:rFonts w:cs="Arial"/>
                <w:color w:val="984806" w:themeColor="accent6" w:themeShade="80"/>
              </w:rPr>
            </w:pPr>
            <w:r w:rsidRPr="00243FDF">
              <w:rPr>
                <w:rFonts w:cs="Arial"/>
                <w:color w:val="984806" w:themeColor="accent6" w:themeShade="80"/>
              </w:rPr>
              <w:t>68,000</w:t>
            </w:r>
          </w:p>
        </w:tc>
        <w:tc>
          <w:tcPr>
            <w:tcW w:w="1442" w:type="dxa"/>
          </w:tcPr>
          <w:p w:rsidR="006D26E5" w:rsidRPr="00243FDF" w:rsidRDefault="006D26E5" w:rsidP="007A2B8E">
            <w:pPr>
              <w:autoSpaceDE w:val="0"/>
              <w:autoSpaceDN w:val="0"/>
              <w:adjustRightInd w:val="0"/>
              <w:rPr>
                <w:rFonts w:cs="Arial"/>
                <w:color w:val="984806" w:themeColor="accent6" w:themeShade="80"/>
              </w:rPr>
            </w:pPr>
          </w:p>
        </w:tc>
      </w:tr>
      <w:tr w:rsidR="006D26E5" w:rsidTr="00471EB3">
        <w:tc>
          <w:tcPr>
            <w:tcW w:w="2720" w:type="dxa"/>
          </w:tcPr>
          <w:p w:rsidR="006D26E5" w:rsidRDefault="006D26E5" w:rsidP="00471EB3">
            <w:pPr>
              <w:autoSpaceDE w:val="0"/>
              <w:autoSpaceDN w:val="0"/>
              <w:adjustRightInd w:val="0"/>
              <w:rPr>
                <w:rFonts w:cs="Arial"/>
              </w:rPr>
            </w:pPr>
            <w:r>
              <w:rPr>
                <w:rFonts w:cs="Arial"/>
              </w:rPr>
              <w:t xml:space="preserve">Implementation/Upgrade </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466,000</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0</w:t>
            </w:r>
          </w:p>
        </w:tc>
        <w:tc>
          <w:tcPr>
            <w:tcW w:w="1441"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0</w:t>
            </w:r>
          </w:p>
        </w:tc>
        <w:tc>
          <w:tcPr>
            <w:tcW w:w="1418" w:type="dxa"/>
          </w:tcPr>
          <w:p w:rsidR="006D26E5" w:rsidRPr="00243FDF" w:rsidRDefault="006D26E5" w:rsidP="007A2B8E">
            <w:pPr>
              <w:autoSpaceDE w:val="0"/>
              <w:autoSpaceDN w:val="0"/>
              <w:adjustRightInd w:val="0"/>
              <w:rPr>
                <w:rFonts w:cs="Arial"/>
                <w:color w:val="984806" w:themeColor="accent6" w:themeShade="80"/>
              </w:rPr>
            </w:pPr>
            <w:r w:rsidRPr="00243FDF">
              <w:rPr>
                <w:rFonts w:cs="Arial"/>
                <w:color w:val="984806" w:themeColor="accent6" w:themeShade="80"/>
              </w:rPr>
              <w:t>182,000</w:t>
            </w:r>
          </w:p>
        </w:tc>
        <w:tc>
          <w:tcPr>
            <w:tcW w:w="1418" w:type="dxa"/>
          </w:tcPr>
          <w:p w:rsidR="006D26E5" w:rsidRPr="00243FDF" w:rsidRDefault="006D26E5" w:rsidP="007A2B8E">
            <w:pPr>
              <w:autoSpaceDE w:val="0"/>
              <w:autoSpaceDN w:val="0"/>
              <w:adjustRightInd w:val="0"/>
              <w:rPr>
                <w:rFonts w:cs="Arial"/>
                <w:color w:val="984806" w:themeColor="accent6" w:themeShade="80"/>
              </w:rPr>
            </w:pPr>
            <w:r w:rsidRPr="00243FDF">
              <w:rPr>
                <w:rFonts w:cs="Arial"/>
                <w:color w:val="984806" w:themeColor="accent6" w:themeShade="80"/>
              </w:rPr>
              <w:t>0</w:t>
            </w:r>
          </w:p>
        </w:tc>
        <w:tc>
          <w:tcPr>
            <w:tcW w:w="1442" w:type="dxa"/>
          </w:tcPr>
          <w:p w:rsidR="006D26E5" w:rsidRPr="00243FDF" w:rsidRDefault="006D26E5" w:rsidP="007A2B8E">
            <w:pPr>
              <w:autoSpaceDE w:val="0"/>
              <w:autoSpaceDN w:val="0"/>
              <w:adjustRightInd w:val="0"/>
              <w:rPr>
                <w:rFonts w:cs="Arial"/>
                <w:color w:val="984806" w:themeColor="accent6" w:themeShade="80"/>
              </w:rPr>
            </w:pPr>
          </w:p>
        </w:tc>
      </w:tr>
      <w:tr w:rsidR="006D26E5" w:rsidTr="00471EB3">
        <w:tc>
          <w:tcPr>
            <w:tcW w:w="2720" w:type="dxa"/>
          </w:tcPr>
          <w:p w:rsidR="006D26E5" w:rsidRDefault="006D26E5" w:rsidP="007A2B8E">
            <w:pPr>
              <w:autoSpaceDE w:val="0"/>
              <w:autoSpaceDN w:val="0"/>
              <w:adjustRightInd w:val="0"/>
              <w:rPr>
                <w:rFonts w:cs="Arial"/>
              </w:rPr>
            </w:pPr>
            <w:r>
              <w:rPr>
                <w:rFonts w:cs="Arial"/>
              </w:rPr>
              <w:t>Internal Support</w:t>
            </w:r>
          </w:p>
        </w:tc>
        <w:tc>
          <w:tcPr>
            <w:tcW w:w="1417" w:type="dxa"/>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223,000</w:t>
            </w:r>
          </w:p>
        </w:tc>
        <w:tc>
          <w:tcPr>
            <w:tcW w:w="1417" w:type="dxa"/>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180,000</w:t>
            </w:r>
          </w:p>
        </w:tc>
        <w:tc>
          <w:tcPr>
            <w:tcW w:w="1441" w:type="dxa"/>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180,000</w:t>
            </w:r>
          </w:p>
        </w:tc>
        <w:tc>
          <w:tcPr>
            <w:tcW w:w="1418" w:type="dxa"/>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180,000</w:t>
            </w:r>
          </w:p>
        </w:tc>
        <w:tc>
          <w:tcPr>
            <w:tcW w:w="1418" w:type="dxa"/>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180,000</w:t>
            </w:r>
          </w:p>
        </w:tc>
        <w:tc>
          <w:tcPr>
            <w:tcW w:w="1442" w:type="dxa"/>
          </w:tcPr>
          <w:p w:rsidR="006D26E5" w:rsidRPr="00243FDF" w:rsidRDefault="006D26E5" w:rsidP="007A2B8E">
            <w:pPr>
              <w:autoSpaceDE w:val="0"/>
              <w:autoSpaceDN w:val="0"/>
              <w:adjustRightInd w:val="0"/>
              <w:rPr>
                <w:rFonts w:cs="Arial"/>
                <w:color w:val="984806" w:themeColor="accent6" w:themeShade="80"/>
              </w:rPr>
            </w:pPr>
          </w:p>
        </w:tc>
      </w:tr>
      <w:tr w:rsidR="006D26E5" w:rsidTr="00471EB3">
        <w:tc>
          <w:tcPr>
            <w:tcW w:w="2720" w:type="dxa"/>
            <w:tcBorders>
              <w:bottom w:val="single" w:sz="4" w:space="0" w:color="000000" w:themeColor="text1"/>
            </w:tcBorders>
          </w:tcPr>
          <w:p w:rsidR="006D26E5" w:rsidRDefault="006D26E5" w:rsidP="007A2B8E">
            <w:pPr>
              <w:autoSpaceDE w:val="0"/>
              <w:autoSpaceDN w:val="0"/>
              <w:adjustRightInd w:val="0"/>
              <w:rPr>
                <w:rFonts w:cs="Arial"/>
              </w:rPr>
            </w:pPr>
            <w:r>
              <w:rPr>
                <w:rFonts w:cs="Arial"/>
              </w:rPr>
              <w:t>Annual TCO</w:t>
            </w:r>
          </w:p>
        </w:tc>
        <w:tc>
          <w:tcPr>
            <w:tcW w:w="1417" w:type="dxa"/>
            <w:tcBorders>
              <w:bottom w:val="single" w:sz="4" w:space="0" w:color="000000" w:themeColor="text1"/>
            </w:tcBorders>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1,120,000</w:t>
            </w:r>
          </w:p>
        </w:tc>
        <w:tc>
          <w:tcPr>
            <w:tcW w:w="1417" w:type="dxa"/>
            <w:tcBorders>
              <w:bottom w:val="single" w:sz="4" w:space="0" w:color="000000" w:themeColor="text1"/>
            </w:tcBorders>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279,000</w:t>
            </w:r>
          </w:p>
        </w:tc>
        <w:tc>
          <w:tcPr>
            <w:tcW w:w="1441" w:type="dxa"/>
            <w:tcBorders>
              <w:bottom w:val="single" w:sz="4" w:space="0" w:color="000000" w:themeColor="text1"/>
            </w:tcBorders>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248,000</w:t>
            </w:r>
          </w:p>
        </w:tc>
        <w:tc>
          <w:tcPr>
            <w:tcW w:w="1418" w:type="dxa"/>
            <w:tcBorders>
              <w:bottom w:val="single" w:sz="4" w:space="0" w:color="000000" w:themeColor="text1"/>
            </w:tcBorders>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430,000</w:t>
            </w:r>
          </w:p>
        </w:tc>
        <w:tc>
          <w:tcPr>
            <w:tcW w:w="1418" w:type="dxa"/>
            <w:tcBorders>
              <w:bottom w:val="single" w:sz="4" w:space="0" w:color="000000" w:themeColor="text1"/>
            </w:tcBorders>
          </w:tcPr>
          <w:p w:rsidR="006D26E5" w:rsidRPr="00243FDF" w:rsidRDefault="005E5C8D" w:rsidP="007A2B8E">
            <w:pPr>
              <w:autoSpaceDE w:val="0"/>
              <w:autoSpaceDN w:val="0"/>
              <w:adjustRightInd w:val="0"/>
              <w:rPr>
                <w:rFonts w:cs="Arial"/>
                <w:color w:val="984806" w:themeColor="accent6" w:themeShade="80"/>
              </w:rPr>
            </w:pPr>
            <w:r w:rsidRPr="00243FDF">
              <w:rPr>
                <w:rFonts w:cs="Arial"/>
                <w:color w:val="984806" w:themeColor="accent6" w:themeShade="80"/>
              </w:rPr>
              <w:t>248,000</w:t>
            </w:r>
          </w:p>
        </w:tc>
        <w:tc>
          <w:tcPr>
            <w:tcW w:w="1442" w:type="dxa"/>
            <w:tcBorders>
              <w:bottom w:val="single" w:sz="4" w:space="0" w:color="000000" w:themeColor="text1"/>
            </w:tcBorders>
          </w:tcPr>
          <w:p w:rsidR="006D26E5" w:rsidRPr="00243FDF" w:rsidRDefault="006D26E5" w:rsidP="007A2B8E">
            <w:pPr>
              <w:autoSpaceDE w:val="0"/>
              <w:autoSpaceDN w:val="0"/>
              <w:adjustRightInd w:val="0"/>
              <w:rPr>
                <w:rFonts w:cs="Arial"/>
                <w:color w:val="984806" w:themeColor="accent6" w:themeShade="80"/>
              </w:rPr>
            </w:pPr>
          </w:p>
        </w:tc>
      </w:tr>
      <w:tr w:rsidR="006D26E5" w:rsidRPr="005E5C8D" w:rsidTr="00892835">
        <w:tc>
          <w:tcPr>
            <w:tcW w:w="2720" w:type="dxa"/>
            <w:shd w:val="clear" w:color="auto" w:fill="D9D9D9" w:themeFill="background1" w:themeFillShade="D9"/>
          </w:tcPr>
          <w:p w:rsidR="006D26E5" w:rsidRPr="005E5C8D" w:rsidRDefault="006D26E5" w:rsidP="007A2B8E">
            <w:pPr>
              <w:autoSpaceDE w:val="0"/>
              <w:autoSpaceDN w:val="0"/>
              <w:adjustRightInd w:val="0"/>
              <w:rPr>
                <w:rFonts w:cs="Arial"/>
                <w:b/>
              </w:rPr>
            </w:pPr>
            <w:r w:rsidRPr="005E5C8D">
              <w:rPr>
                <w:rFonts w:cs="Arial"/>
                <w:b/>
              </w:rPr>
              <w:t>5 YEAR TCO</w:t>
            </w:r>
          </w:p>
        </w:tc>
        <w:tc>
          <w:tcPr>
            <w:tcW w:w="8553" w:type="dxa"/>
            <w:gridSpan w:val="6"/>
            <w:shd w:val="clear" w:color="auto" w:fill="D9D9D9" w:themeFill="background1" w:themeFillShade="D9"/>
          </w:tcPr>
          <w:p w:rsidR="006D26E5" w:rsidRPr="00243FDF" w:rsidRDefault="005E5C8D" w:rsidP="007A2B8E">
            <w:pPr>
              <w:autoSpaceDE w:val="0"/>
              <w:autoSpaceDN w:val="0"/>
              <w:adjustRightInd w:val="0"/>
              <w:rPr>
                <w:rFonts w:cs="Arial"/>
                <w:b/>
                <w:color w:val="984806" w:themeColor="accent6" w:themeShade="80"/>
              </w:rPr>
            </w:pPr>
            <w:r w:rsidRPr="00243FDF">
              <w:rPr>
                <w:rFonts w:cs="Arial"/>
                <w:b/>
                <w:color w:val="984806" w:themeColor="accent6" w:themeShade="80"/>
              </w:rPr>
              <w:t>$ 2,325,000</w:t>
            </w:r>
          </w:p>
        </w:tc>
      </w:tr>
    </w:tbl>
    <w:p w:rsidR="006D26E5" w:rsidRDefault="006D26E5" w:rsidP="007A2B8E">
      <w:pPr>
        <w:autoSpaceDE w:val="0"/>
        <w:autoSpaceDN w:val="0"/>
        <w:adjustRightInd w:val="0"/>
        <w:rPr>
          <w:rFonts w:cs="Arial"/>
          <w:lang w:val="en-CA" w:eastAsia="en-CA"/>
        </w:rPr>
      </w:pPr>
    </w:p>
    <w:tbl>
      <w:tblPr>
        <w:tblStyle w:val="TableGrid"/>
        <w:tblW w:w="0" w:type="auto"/>
        <w:tblLook w:val="04A0"/>
      </w:tblPr>
      <w:tblGrid>
        <w:gridCol w:w="2720"/>
        <w:gridCol w:w="1417"/>
        <w:gridCol w:w="1417"/>
        <w:gridCol w:w="1441"/>
        <w:gridCol w:w="1418"/>
        <w:gridCol w:w="1418"/>
        <w:gridCol w:w="1442"/>
      </w:tblGrid>
      <w:tr w:rsidR="006D26E5" w:rsidRPr="005E5C8D" w:rsidTr="00892835">
        <w:tc>
          <w:tcPr>
            <w:tcW w:w="2720" w:type="dxa"/>
          </w:tcPr>
          <w:p w:rsidR="006D26E5" w:rsidRPr="005E5C8D" w:rsidRDefault="006D26E5" w:rsidP="00892835">
            <w:pPr>
              <w:autoSpaceDE w:val="0"/>
              <w:autoSpaceDN w:val="0"/>
              <w:adjustRightInd w:val="0"/>
              <w:rPr>
                <w:rFonts w:cs="Arial"/>
                <w:b/>
              </w:rPr>
            </w:pPr>
          </w:p>
        </w:tc>
        <w:tc>
          <w:tcPr>
            <w:tcW w:w="8553" w:type="dxa"/>
            <w:gridSpan w:val="6"/>
            <w:shd w:val="clear" w:color="auto" w:fill="D9D9D9" w:themeFill="background1" w:themeFillShade="D9"/>
          </w:tcPr>
          <w:p w:rsidR="006D26E5" w:rsidRPr="005E5C8D" w:rsidRDefault="006D26E5" w:rsidP="00892835">
            <w:pPr>
              <w:autoSpaceDE w:val="0"/>
              <w:autoSpaceDN w:val="0"/>
              <w:adjustRightInd w:val="0"/>
              <w:rPr>
                <w:rFonts w:cs="Arial"/>
                <w:b/>
              </w:rPr>
            </w:pPr>
            <w:r w:rsidRPr="005E5C8D">
              <w:rPr>
                <w:rFonts w:cs="Arial"/>
                <w:b/>
              </w:rPr>
              <w:t>Service-now.com</w:t>
            </w:r>
          </w:p>
        </w:tc>
      </w:tr>
      <w:tr w:rsidR="006D26E5" w:rsidRPr="005E5C8D" w:rsidTr="00892835">
        <w:tc>
          <w:tcPr>
            <w:tcW w:w="2720" w:type="dxa"/>
          </w:tcPr>
          <w:p w:rsidR="006D26E5" w:rsidRPr="005E5C8D" w:rsidRDefault="006D26E5" w:rsidP="00892835">
            <w:pPr>
              <w:autoSpaceDE w:val="0"/>
              <w:autoSpaceDN w:val="0"/>
              <w:adjustRightInd w:val="0"/>
              <w:rPr>
                <w:rFonts w:cs="Arial"/>
                <w:b/>
              </w:rPr>
            </w:pPr>
            <w:r w:rsidRPr="005E5C8D">
              <w:rPr>
                <w:rFonts w:cs="Arial"/>
                <w:b/>
              </w:rPr>
              <w:t>COSTS</w:t>
            </w:r>
          </w:p>
        </w:tc>
        <w:tc>
          <w:tcPr>
            <w:tcW w:w="1417" w:type="dxa"/>
          </w:tcPr>
          <w:p w:rsidR="006D26E5" w:rsidRPr="005E5C8D" w:rsidRDefault="006D26E5" w:rsidP="00892835">
            <w:pPr>
              <w:autoSpaceDE w:val="0"/>
              <w:autoSpaceDN w:val="0"/>
              <w:adjustRightInd w:val="0"/>
              <w:rPr>
                <w:rFonts w:cs="Arial"/>
                <w:b/>
              </w:rPr>
            </w:pPr>
            <w:r w:rsidRPr="005E5C8D">
              <w:rPr>
                <w:rFonts w:cs="Arial"/>
                <w:b/>
              </w:rPr>
              <w:t>YEAR 1</w:t>
            </w:r>
          </w:p>
        </w:tc>
        <w:tc>
          <w:tcPr>
            <w:tcW w:w="1417" w:type="dxa"/>
          </w:tcPr>
          <w:p w:rsidR="006D26E5" w:rsidRPr="005E5C8D" w:rsidRDefault="006D26E5" w:rsidP="00892835">
            <w:pPr>
              <w:autoSpaceDE w:val="0"/>
              <w:autoSpaceDN w:val="0"/>
              <w:adjustRightInd w:val="0"/>
              <w:rPr>
                <w:rFonts w:cs="Arial"/>
                <w:b/>
              </w:rPr>
            </w:pPr>
            <w:r w:rsidRPr="005E5C8D">
              <w:rPr>
                <w:rFonts w:cs="Arial"/>
                <w:b/>
              </w:rPr>
              <w:t>YEAR 2</w:t>
            </w:r>
          </w:p>
        </w:tc>
        <w:tc>
          <w:tcPr>
            <w:tcW w:w="1441" w:type="dxa"/>
          </w:tcPr>
          <w:p w:rsidR="006D26E5" w:rsidRPr="005E5C8D" w:rsidRDefault="006D26E5" w:rsidP="00892835">
            <w:pPr>
              <w:autoSpaceDE w:val="0"/>
              <w:autoSpaceDN w:val="0"/>
              <w:adjustRightInd w:val="0"/>
              <w:rPr>
                <w:rFonts w:cs="Arial"/>
                <w:b/>
              </w:rPr>
            </w:pPr>
            <w:r w:rsidRPr="005E5C8D">
              <w:rPr>
                <w:rFonts w:cs="Arial"/>
                <w:b/>
              </w:rPr>
              <w:t>YEAR 3</w:t>
            </w:r>
          </w:p>
        </w:tc>
        <w:tc>
          <w:tcPr>
            <w:tcW w:w="1418" w:type="dxa"/>
          </w:tcPr>
          <w:p w:rsidR="006D26E5" w:rsidRPr="005E5C8D" w:rsidRDefault="006D26E5" w:rsidP="00892835">
            <w:pPr>
              <w:autoSpaceDE w:val="0"/>
              <w:autoSpaceDN w:val="0"/>
              <w:adjustRightInd w:val="0"/>
              <w:rPr>
                <w:rFonts w:cs="Arial"/>
                <w:b/>
              </w:rPr>
            </w:pPr>
            <w:r w:rsidRPr="005E5C8D">
              <w:rPr>
                <w:rFonts w:cs="Arial"/>
                <w:b/>
              </w:rPr>
              <w:t>YEAR 4</w:t>
            </w:r>
          </w:p>
        </w:tc>
        <w:tc>
          <w:tcPr>
            <w:tcW w:w="1418" w:type="dxa"/>
          </w:tcPr>
          <w:p w:rsidR="006D26E5" w:rsidRPr="005E5C8D" w:rsidRDefault="006D26E5" w:rsidP="00892835">
            <w:pPr>
              <w:autoSpaceDE w:val="0"/>
              <w:autoSpaceDN w:val="0"/>
              <w:adjustRightInd w:val="0"/>
              <w:rPr>
                <w:rFonts w:cs="Arial"/>
                <w:b/>
              </w:rPr>
            </w:pPr>
            <w:r w:rsidRPr="005E5C8D">
              <w:rPr>
                <w:rFonts w:cs="Arial"/>
                <w:b/>
              </w:rPr>
              <w:t>YEAR 5</w:t>
            </w:r>
          </w:p>
        </w:tc>
        <w:tc>
          <w:tcPr>
            <w:tcW w:w="1442" w:type="dxa"/>
          </w:tcPr>
          <w:p w:rsidR="006D26E5" w:rsidRPr="005E5C8D" w:rsidRDefault="006D26E5" w:rsidP="00892835">
            <w:pPr>
              <w:autoSpaceDE w:val="0"/>
              <w:autoSpaceDN w:val="0"/>
              <w:adjustRightInd w:val="0"/>
              <w:rPr>
                <w:rFonts w:cs="Arial"/>
                <w:b/>
              </w:rPr>
            </w:pPr>
          </w:p>
        </w:tc>
      </w:tr>
      <w:tr w:rsidR="006D26E5" w:rsidTr="00892835">
        <w:tc>
          <w:tcPr>
            <w:tcW w:w="2720" w:type="dxa"/>
          </w:tcPr>
          <w:p w:rsidR="006D26E5" w:rsidRDefault="006D26E5" w:rsidP="00892835">
            <w:pPr>
              <w:autoSpaceDE w:val="0"/>
              <w:autoSpaceDN w:val="0"/>
              <w:adjustRightInd w:val="0"/>
              <w:rPr>
                <w:rFonts w:cs="Arial"/>
              </w:rPr>
            </w:pPr>
            <w:r>
              <w:rPr>
                <w:rFonts w:cs="Arial"/>
              </w:rPr>
              <w:t>Subscription</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199,000</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229,000</w:t>
            </w:r>
          </w:p>
        </w:tc>
        <w:tc>
          <w:tcPr>
            <w:tcW w:w="1441"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229,000</w:t>
            </w:r>
          </w:p>
        </w:tc>
        <w:tc>
          <w:tcPr>
            <w:tcW w:w="1418"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229,000</w:t>
            </w:r>
          </w:p>
        </w:tc>
        <w:tc>
          <w:tcPr>
            <w:tcW w:w="1418"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229,000</w:t>
            </w:r>
          </w:p>
        </w:tc>
        <w:tc>
          <w:tcPr>
            <w:tcW w:w="1442" w:type="dxa"/>
          </w:tcPr>
          <w:p w:rsidR="006D26E5" w:rsidRPr="00243FDF" w:rsidRDefault="006D26E5" w:rsidP="00892835">
            <w:pPr>
              <w:autoSpaceDE w:val="0"/>
              <w:autoSpaceDN w:val="0"/>
              <w:adjustRightInd w:val="0"/>
              <w:rPr>
                <w:rFonts w:cs="Arial"/>
                <w:color w:val="984806" w:themeColor="accent6" w:themeShade="80"/>
              </w:rPr>
            </w:pPr>
          </w:p>
        </w:tc>
      </w:tr>
      <w:tr w:rsidR="006D26E5" w:rsidTr="00892835">
        <w:tc>
          <w:tcPr>
            <w:tcW w:w="2720" w:type="dxa"/>
          </w:tcPr>
          <w:p w:rsidR="006D26E5" w:rsidRDefault="006D26E5" w:rsidP="00892835">
            <w:pPr>
              <w:autoSpaceDE w:val="0"/>
              <w:autoSpaceDN w:val="0"/>
              <w:adjustRightInd w:val="0"/>
              <w:rPr>
                <w:rFonts w:cs="Arial"/>
              </w:rPr>
            </w:pPr>
            <w:r>
              <w:rPr>
                <w:rFonts w:cs="Arial"/>
              </w:rPr>
              <w:t xml:space="preserve">Implementation/Upgrade </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197,000</w:t>
            </w:r>
          </w:p>
        </w:tc>
        <w:tc>
          <w:tcPr>
            <w:tcW w:w="1417"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13,000</w:t>
            </w:r>
          </w:p>
        </w:tc>
        <w:tc>
          <w:tcPr>
            <w:tcW w:w="1441"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13,000</w:t>
            </w:r>
          </w:p>
        </w:tc>
        <w:tc>
          <w:tcPr>
            <w:tcW w:w="1418"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13,000</w:t>
            </w:r>
          </w:p>
        </w:tc>
        <w:tc>
          <w:tcPr>
            <w:tcW w:w="1418" w:type="dxa"/>
          </w:tcPr>
          <w:p w:rsidR="006D26E5" w:rsidRPr="00243FDF" w:rsidRDefault="006D26E5" w:rsidP="00892835">
            <w:pPr>
              <w:autoSpaceDE w:val="0"/>
              <w:autoSpaceDN w:val="0"/>
              <w:adjustRightInd w:val="0"/>
              <w:rPr>
                <w:rFonts w:cs="Arial"/>
                <w:color w:val="984806" w:themeColor="accent6" w:themeShade="80"/>
              </w:rPr>
            </w:pPr>
            <w:r w:rsidRPr="00243FDF">
              <w:rPr>
                <w:rFonts w:cs="Arial"/>
                <w:color w:val="984806" w:themeColor="accent6" w:themeShade="80"/>
              </w:rPr>
              <w:t>13,000</w:t>
            </w:r>
          </w:p>
        </w:tc>
        <w:tc>
          <w:tcPr>
            <w:tcW w:w="1442" w:type="dxa"/>
          </w:tcPr>
          <w:p w:rsidR="006D26E5" w:rsidRPr="00243FDF" w:rsidRDefault="006D26E5" w:rsidP="00892835">
            <w:pPr>
              <w:autoSpaceDE w:val="0"/>
              <w:autoSpaceDN w:val="0"/>
              <w:adjustRightInd w:val="0"/>
              <w:rPr>
                <w:rFonts w:cs="Arial"/>
                <w:color w:val="984806" w:themeColor="accent6" w:themeShade="80"/>
              </w:rPr>
            </w:pPr>
          </w:p>
        </w:tc>
      </w:tr>
      <w:tr w:rsidR="006D26E5" w:rsidTr="00892835">
        <w:tc>
          <w:tcPr>
            <w:tcW w:w="2720" w:type="dxa"/>
          </w:tcPr>
          <w:p w:rsidR="006D26E5" w:rsidRDefault="006D26E5" w:rsidP="00892835">
            <w:pPr>
              <w:autoSpaceDE w:val="0"/>
              <w:autoSpaceDN w:val="0"/>
              <w:adjustRightInd w:val="0"/>
              <w:rPr>
                <w:rFonts w:cs="Arial"/>
              </w:rPr>
            </w:pPr>
            <w:r>
              <w:rPr>
                <w:rFonts w:cs="Arial"/>
              </w:rPr>
              <w:t>Internal Support</w:t>
            </w:r>
          </w:p>
        </w:tc>
        <w:tc>
          <w:tcPr>
            <w:tcW w:w="1417" w:type="dxa"/>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128,000</w:t>
            </w:r>
          </w:p>
        </w:tc>
        <w:tc>
          <w:tcPr>
            <w:tcW w:w="1417" w:type="dxa"/>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43,000</w:t>
            </w:r>
          </w:p>
        </w:tc>
        <w:tc>
          <w:tcPr>
            <w:tcW w:w="1441" w:type="dxa"/>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43,000</w:t>
            </w:r>
          </w:p>
        </w:tc>
        <w:tc>
          <w:tcPr>
            <w:tcW w:w="1418" w:type="dxa"/>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43,000</w:t>
            </w:r>
          </w:p>
        </w:tc>
        <w:tc>
          <w:tcPr>
            <w:tcW w:w="1418" w:type="dxa"/>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43,000</w:t>
            </w:r>
          </w:p>
        </w:tc>
        <w:tc>
          <w:tcPr>
            <w:tcW w:w="1442" w:type="dxa"/>
          </w:tcPr>
          <w:p w:rsidR="006D26E5" w:rsidRPr="00243FDF" w:rsidRDefault="006D26E5" w:rsidP="00892835">
            <w:pPr>
              <w:autoSpaceDE w:val="0"/>
              <w:autoSpaceDN w:val="0"/>
              <w:adjustRightInd w:val="0"/>
              <w:rPr>
                <w:rFonts w:cs="Arial"/>
                <w:color w:val="984806" w:themeColor="accent6" w:themeShade="80"/>
              </w:rPr>
            </w:pPr>
          </w:p>
        </w:tc>
      </w:tr>
      <w:tr w:rsidR="006D26E5" w:rsidTr="00892835">
        <w:tc>
          <w:tcPr>
            <w:tcW w:w="2720" w:type="dxa"/>
            <w:tcBorders>
              <w:bottom w:val="single" w:sz="4" w:space="0" w:color="000000" w:themeColor="text1"/>
            </w:tcBorders>
          </w:tcPr>
          <w:p w:rsidR="006D26E5" w:rsidRDefault="006D26E5" w:rsidP="00892835">
            <w:pPr>
              <w:autoSpaceDE w:val="0"/>
              <w:autoSpaceDN w:val="0"/>
              <w:adjustRightInd w:val="0"/>
              <w:rPr>
                <w:rFonts w:cs="Arial"/>
              </w:rPr>
            </w:pPr>
            <w:r>
              <w:rPr>
                <w:rFonts w:cs="Arial"/>
              </w:rPr>
              <w:t>Annual TCO</w:t>
            </w:r>
          </w:p>
        </w:tc>
        <w:tc>
          <w:tcPr>
            <w:tcW w:w="1417" w:type="dxa"/>
            <w:tcBorders>
              <w:bottom w:val="single" w:sz="4" w:space="0" w:color="000000" w:themeColor="text1"/>
            </w:tcBorders>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524,000</w:t>
            </w:r>
          </w:p>
        </w:tc>
        <w:tc>
          <w:tcPr>
            <w:tcW w:w="1417" w:type="dxa"/>
            <w:tcBorders>
              <w:bottom w:val="single" w:sz="4" w:space="0" w:color="000000" w:themeColor="text1"/>
            </w:tcBorders>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285,000</w:t>
            </w:r>
          </w:p>
        </w:tc>
        <w:tc>
          <w:tcPr>
            <w:tcW w:w="1441" w:type="dxa"/>
            <w:tcBorders>
              <w:bottom w:val="single" w:sz="4" w:space="0" w:color="000000" w:themeColor="text1"/>
            </w:tcBorders>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285,000</w:t>
            </w:r>
          </w:p>
        </w:tc>
        <w:tc>
          <w:tcPr>
            <w:tcW w:w="1418" w:type="dxa"/>
            <w:tcBorders>
              <w:bottom w:val="single" w:sz="4" w:space="0" w:color="000000" w:themeColor="text1"/>
            </w:tcBorders>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285,000</w:t>
            </w:r>
          </w:p>
        </w:tc>
        <w:tc>
          <w:tcPr>
            <w:tcW w:w="1418" w:type="dxa"/>
            <w:tcBorders>
              <w:bottom w:val="single" w:sz="4" w:space="0" w:color="000000" w:themeColor="text1"/>
            </w:tcBorders>
          </w:tcPr>
          <w:p w:rsidR="006D26E5" w:rsidRPr="00243FDF" w:rsidRDefault="005E5C8D" w:rsidP="00892835">
            <w:pPr>
              <w:autoSpaceDE w:val="0"/>
              <w:autoSpaceDN w:val="0"/>
              <w:adjustRightInd w:val="0"/>
              <w:rPr>
                <w:rFonts w:cs="Arial"/>
                <w:color w:val="984806" w:themeColor="accent6" w:themeShade="80"/>
              </w:rPr>
            </w:pPr>
            <w:r w:rsidRPr="00243FDF">
              <w:rPr>
                <w:rFonts w:cs="Arial"/>
                <w:color w:val="984806" w:themeColor="accent6" w:themeShade="80"/>
              </w:rPr>
              <w:t>285,000</w:t>
            </w:r>
          </w:p>
        </w:tc>
        <w:tc>
          <w:tcPr>
            <w:tcW w:w="1442" w:type="dxa"/>
            <w:tcBorders>
              <w:bottom w:val="single" w:sz="4" w:space="0" w:color="000000" w:themeColor="text1"/>
            </w:tcBorders>
          </w:tcPr>
          <w:p w:rsidR="006D26E5" w:rsidRPr="00243FDF" w:rsidRDefault="006D26E5" w:rsidP="00892835">
            <w:pPr>
              <w:autoSpaceDE w:val="0"/>
              <w:autoSpaceDN w:val="0"/>
              <w:adjustRightInd w:val="0"/>
              <w:rPr>
                <w:rFonts w:cs="Arial"/>
                <w:color w:val="984806" w:themeColor="accent6" w:themeShade="80"/>
              </w:rPr>
            </w:pPr>
          </w:p>
        </w:tc>
      </w:tr>
      <w:tr w:rsidR="006D26E5" w:rsidRPr="005E5C8D" w:rsidTr="00892835">
        <w:tc>
          <w:tcPr>
            <w:tcW w:w="2720" w:type="dxa"/>
            <w:shd w:val="clear" w:color="auto" w:fill="D9D9D9" w:themeFill="background1" w:themeFillShade="D9"/>
          </w:tcPr>
          <w:p w:rsidR="006D26E5" w:rsidRPr="005E5C8D" w:rsidRDefault="006D26E5" w:rsidP="00892835">
            <w:pPr>
              <w:autoSpaceDE w:val="0"/>
              <w:autoSpaceDN w:val="0"/>
              <w:adjustRightInd w:val="0"/>
              <w:rPr>
                <w:rFonts w:cs="Arial"/>
                <w:b/>
              </w:rPr>
            </w:pPr>
            <w:r w:rsidRPr="005E5C8D">
              <w:rPr>
                <w:rFonts w:cs="Arial"/>
                <w:b/>
              </w:rPr>
              <w:t>5 YEAR TCO</w:t>
            </w:r>
          </w:p>
        </w:tc>
        <w:tc>
          <w:tcPr>
            <w:tcW w:w="8553" w:type="dxa"/>
            <w:gridSpan w:val="6"/>
            <w:shd w:val="clear" w:color="auto" w:fill="D9D9D9" w:themeFill="background1" w:themeFillShade="D9"/>
          </w:tcPr>
          <w:p w:rsidR="006D26E5" w:rsidRPr="00243FDF" w:rsidRDefault="005E5C8D" w:rsidP="00892835">
            <w:pPr>
              <w:autoSpaceDE w:val="0"/>
              <w:autoSpaceDN w:val="0"/>
              <w:adjustRightInd w:val="0"/>
              <w:rPr>
                <w:rFonts w:cs="Arial"/>
                <w:b/>
                <w:color w:val="984806" w:themeColor="accent6" w:themeShade="80"/>
              </w:rPr>
            </w:pPr>
            <w:r w:rsidRPr="00243FDF">
              <w:rPr>
                <w:rFonts w:cs="Arial"/>
                <w:b/>
                <w:color w:val="984806" w:themeColor="accent6" w:themeShade="80"/>
              </w:rPr>
              <w:t>$ 1,661,000</w:t>
            </w:r>
          </w:p>
        </w:tc>
      </w:tr>
    </w:tbl>
    <w:p w:rsidR="00AF4AA4" w:rsidRDefault="00AF4AA4" w:rsidP="00AF4AA4">
      <w:pPr>
        <w:pStyle w:val="Subtitle"/>
        <w:rPr>
          <w:rStyle w:val="IntenseEmphasis"/>
          <w:i w:val="0"/>
        </w:rPr>
      </w:pPr>
    </w:p>
    <w:p w:rsidR="00AF4AA4" w:rsidRDefault="00AF4AA4" w:rsidP="00AE4C74">
      <w:pPr>
        <w:pStyle w:val="Heading2"/>
        <w:rPr>
          <w:rStyle w:val="IntenseEmphasis"/>
          <w:i w:val="0"/>
        </w:rPr>
      </w:pPr>
      <w:bookmarkStart w:id="10" w:name="_Toc286060930"/>
      <w:r>
        <w:rPr>
          <w:rStyle w:val="IntenseEmphasis"/>
          <w:i w:val="0"/>
        </w:rPr>
        <w:t xml:space="preserve">Total 5 Year Return </w:t>
      </w:r>
      <w:proofErr w:type="gramStart"/>
      <w:r>
        <w:rPr>
          <w:rStyle w:val="IntenseEmphasis"/>
          <w:i w:val="0"/>
        </w:rPr>
        <w:t>On</w:t>
      </w:r>
      <w:proofErr w:type="gramEnd"/>
      <w:r>
        <w:rPr>
          <w:rStyle w:val="IntenseEmphasis"/>
          <w:i w:val="0"/>
        </w:rPr>
        <w:t xml:space="preserve"> Investment</w:t>
      </w:r>
      <w:bookmarkEnd w:id="10"/>
      <w:r>
        <w:rPr>
          <w:rStyle w:val="IntenseEmphasis"/>
          <w:i w:val="0"/>
        </w:rPr>
        <w:t xml:space="preserve"> </w:t>
      </w:r>
    </w:p>
    <w:tbl>
      <w:tblPr>
        <w:tblStyle w:val="TableGrid"/>
        <w:tblW w:w="0" w:type="auto"/>
        <w:tblLook w:val="04A0"/>
      </w:tblPr>
      <w:tblGrid>
        <w:gridCol w:w="2720"/>
        <w:gridCol w:w="1037"/>
        <w:gridCol w:w="3758"/>
        <w:gridCol w:w="3758"/>
      </w:tblGrid>
      <w:tr w:rsidR="00AF4AA4" w:rsidRPr="005E5C8D" w:rsidTr="00892835">
        <w:tc>
          <w:tcPr>
            <w:tcW w:w="2720" w:type="dxa"/>
          </w:tcPr>
          <w:p w:rsidR="00AF4AA4" w:rsidRPr="005E5C8D" w:rsidRDefault="00AF4AA4" w:rsidP="00892835">
            <w:pPr>
              <w:autoSpaceDE w:val="0"/>
              <w:autoSpaceDN w:val="0"/>
              <w:adjustRightInd w:val="0"/>
              <w:rPr>
                <w:rFonts w:cs="Arial"/>
                <w:b/>
              </w:rPr>
            </w:pPr>
          </w:p>
        </w:tc>
        <w:tc>
          <w:tcPr>
            <w:tcW w:w="8553" w:type="dxa"/>
            <w:gridSpan w:val="3"/>
            <w:shd w:val="clear" w:color="auto" w:fill="D9D9D9" w:themeFill="background1" w:themeFillShade="D9"/>
          </w:tcPr>
          <w:p w:rsidR="00AF4AA4" w:rsidRPr="005E5C8D" w:rsidRDefault="00AF4AA4" w:rsidP="00892835">
            <w:pPr>
              <w:autoSpaceDE w:val="0"/>
              <w:autoSpaceDN w:val="0"/>
              <w:adjustRightInd w:val="0"/>
              <w:rPr>
                <w:rFonts w:cs="Arial"/>
                <w:b/>
              </w:rPr>
            </w:pPr>
            <w:r>
              <w:rPr>
                <w:rFonts w:cs="Arial"/>
                <w:b/>
              </w:rPr>
              <w:t>Remedy</w:t>
            </w:r>
          </w:p>
        </w:tc>
      </w:tr>
      <w:tr w:rsidR="00AF4AA4" w:rsidTr="00892835">
        <w:trPr>
          <w:trHeight w:val="252"/>
        </w:trPr>
        <w:tc>
          <w:tcPr>
            <w:tcW w:w="3757" w:type="dxa"/>
            <w:gridSpan w:val="2"/>
            <w:shd w:val="clear" w:color="auto" w:fill="D9D9D9" w:themeFill="background1" w:themeFillShade="D9"/>
          </w:tcPr>
          <w:p w:rsidR="00AF4AA4" w:rsidRDefault="00AF4AA4" w:rsidP="00892835">
            <w:r>
              <w:rPr>
                <w:rFonts w:cs="Arial"/>
              </w:rPr>
              <w:t>Cost</w:t>
            </w:r>
            <w:r w:rsidR="00892835">
              <w:rPr>
                <w:rFonts w:cs="Arial"/>
              </w:rPr>
              <w:t xml:space="preserve"> (Investment)</w:t>
            </w:r>
          </w:p>
        </w:tc>
        <w:tc>
          <w:tcPr>
            <w:tcW w:w="3758" w:type="dxa"/>
            <w:shd w:val="clear" w:color="auto" w:fill="D9D9D9" w:themeFill="background1" w:themeFillShade="D9"/>
          </w:tcPr>
          <w:p w:rsidR="00AF4AA4" w:rsidRDefault="00AF4AA4" w:rsidP="00892835">
            <w:r>
              <w:rPr>
                <w:rFonts w:cs="Arial"/>
              </w:rPr>
              <w:t>Benefit</w:t>
            </w:r>
            <w:r w:rsidR="00892835">
              <w:rPr>
                <w:rFonts w:cs="Arial"/>
              </w:rPr>
              <w:t xml:space="preserve"> (Return)</w:t>
            </w:r>
          </w:p>
        </w:tc>
        <w:tc>
          <w:tcPr>
            <w:tcW w:w="3758" w:type="dxa"/>
            <w:shd w:val="clear" w:color="auto" w:fill="D9D9D9" w:themeFill="background1" w:themeFillShade="D9"/>
          </w:tcPr>
          <w:p w:rsidR="00AF4AA4" w:rsidRPr="00AF4AA4" w:rsidRDefault="00AF4AA4" w:rsidP="00892835">
            <w:pPr>
              <w:autoSpaceDE w:val="0"/>
              <w:autoSpaceDN w:val="0"/>
              <w:adjustRightInd w:val="0"/>
              <w:rPr>
                <w:rFonts w:cs="Arial"/>
              </w:rPr>
            </w:pPr>
            <w:r>
              <w:rPr>
                <w:rFonts w:cs="Arial"/>
              </w:rPr>
              <w:t>Total</w:t>
            </w:r>
          </w:p>
        </w:tc>
      </w:tr>
      <w:tr w:rsidR="00AF4AA4" w:rsidTr="00892835">
        <w:tc>
          <w:tcPr>
            <w:tcW w:w="3757" w:type="dxa"/>
            <w:gridSpan w:val="2"/>
          </w:tcPr>
          <w:p w:rsidR="00AF4AA4" w:rsidRDefault="00AF4AA4" w:rsidP="00892835">
            <w:r w:rsidRPr="00243FDF">
              <w:rPr>
                <w:rFonts w:cs="Arial"/>
                <w:b/>
                <w:color w:val="984806" w:themeColor="accent6" w:themeShade="80"/>
              </w:rPr>
              <w:t>$ 2,325,000</w:t>
            </w:r>
          </w:p>
        </w:tc>
        <w:tc>
          <w:tcPr>
            <w:tcW w:w="3758" w:type="dxa"/>
          </w:tcPr>
          <w:p w:rsidR="00AF4AA4" w:rsidRPr="00AF4AA4" w:rsidRDefault="00AF4AA4" w:rsidP="00AF4AA4">
            <w:pPr>
              <w:rPr>
                <w:b/>
                <w:color w:val="0070C0"/>
              </w:rPr>
            </w:pPr>
            <w:r w:rsidRPr="00AF4AA4">
              <w:rPr>
                <w:b/>
                <w:color w:val="0070C0"/>
              </w:rPr>
              <w:t xml:space="preserve">$ </w:t>
            </w:r>
            <w:r>
              <w:rPr>
                <w:b/>
                <w:color w:val="0070C0"/>
              </w:rPr>
              <w:t>2,000</w:t>
            </w:r>
            <w:r w:rsidRPr="00AF4AA4">
              <w:rPr>
                <w:b/>
                <w:color w:val="0070C0"/>
              </w:rPr>
              <w:t>,000</w:t>
            </w:r>
            <w:r>
              <w:rPr>
                <w:b/>
                <w:color w:val="0070C0"/>
              </w:rPr>
              <w:t xml:space="preserve"> (place-holder)</w:t>
            </w:r>
          </w:p>
        </w:tc>
        <w:tc>
          <w:tcPr>
            <w:tcW w:w="3758" w:type="dxa"/>
          </w:tcPr>
          <w:p w:rsidR="00AF4AA4" w:rsidRPr="00892835" w:rsidRDefault="00892835" w:rsidP="00892835">
            <w:pPr>
              <w:rPr>
                <w:color w:val="FF0000"/>
              </w:rPr>
            </w:pPr>
            <w:r w:rsidRPr="00892835">
              <w:rPr>
                <w:color w:val="FF0000"/>
              </w:rPr>
              <w:t>$ (325,000)</w:t>
            </w:r>
          </w:p>
        </w:tc>
      </w:tr>
    </w:tbl>
    <w:p w:rsidR="00AF4AA4" w:rsidRPr="00AF4AA4" w:rsidRDefault="00AF4AA4" w:rsidP="00AF4AA4"/>
    <w:tbl>
      <w:tblPr>
        <w:tblStyle w:val="TableGrid"/>
        <w:tblW w:w="0" w:type="auto"/>
        <w:tblLook w:val="04A0"/>
      </w:tblPr>
      <w:tblGrid>
        <w:gridCol w:w="2720"/>
        <w:gridCol w:w="1037"/>
        <w:gridCol w:w="3758"/>
        <w:gridCol w:w="3758"/>
      </w:tblGrid>
      <w:tr w:rsidR="00AF4AA4" w:rsidRPr="005E5C8D" w:rsidTr="00892835">
        <w:tc>
          <w:tcPr>
            <w:tcW w:w="2720" w:type="dxa"/>
          </w:tcPr>
          <w:p w:rsidR="00AF4AA4" w:rsidRPr="005E5C8D" w:rsidRDefault="00AF4AA4" w:rsidP="00892835">
            <w:pPr>
              <w:autoSpaceDE w:val="0"/>
              <w:autoSpaceDN w:val="0"/>
              <w:adjustRightInd w:val="0"/>
              <w:rPr>
                <w:rFonts w:cs="Arial"/>
                <w:b/>
              </w:rPr>
            </w:pPr>
          </w:p>
        </w:tc>
        <w:tc>
          <w:tcPr>
            <w:tcW w:w="8553" w:type="dxa"/>
            <w:gridSpan w:val="3"/>
            <w:shd w:val="clear" w:color="auto" w:fill="D9D9D9" w:themeFill="background1" w:themeFillShade="D9"/>
          </w:tcPr>
          <w:p w:rsidR="00AF4AA4" w:rsidRPr="005E5C8D" w:rsidRDefault="00AF4AA4" w:rsidP="00892835">
            <w:pPr>
              <w:autoSpaceDE w:val="0"/>
              <w:autoSpaceDN w:val="0"/>
              <w:adjustRightInd w:val="0"/>
              <w:rPr>
                <w:rFonts w:cs="Arial"/>
                <w:b/>
              </w:rPr>
            </w:pPr>
            <w:r w:rsidRPr="005E5C8D">
              <w:rPr>
                <w:rFonts w:cs="Arial"/>
                <w:b/>
              </w:rPr>
              <w:t>Service-now.com</w:t>
            </w:r>
          </w:p>
        </w:tc>
      </w:tr>
      <w:tr w:rsidR="00AF4AA4" w:rsidTr="00AF4AA4">
        <w:trPr>
          <w:trHeight w:val="252"/>
        </w:trPr>
        <w:tc>
          <w:tcPr>
            <w:tcW w:w="3757" w:type="dxa"/>
            <w:gridSpan w:val="2"/>
            <w:shd w:val="clear" w:color="auto" w:fill="D9D9D9" w:themeFill="background1" w:themeFillShade="D9"/>
          </w:tcPr>
          <w:p w:rsidR="00AF4AA4" w:rsidRDefault="00AF4AA4" w:rsidP="00AF4AA4">
            <w:r>
              <w:rPr>
                <w:rFonts w:cs="Arial"/>
              </w:rPr>
              <w:t>Cost</w:t>
            </w:r>
            <w:r w:rsidR="00892835">
              <w:rPr>
                <w:rFonts w:cs="Arial"/>
              </w:rPr>
              <w:t xml:space="preserve"> (Investment)</w:t>
            </w:r>
          </w:p>
        </w:tc>
        <w:tc>
          <w:tcPr>
            <w:tcW w:w="3758" w:type="dxa"/>
            <w:shd w:val="clear" w:color="auto" w:fill="D9D9D9" w:themeFill="background1" w:themeFillShade="D9"/>
          </w:tcPr>
          <w:p w:rsidR="00AF4AA4" w:rsidRDefault="00AF4AA4" w:rsidP="00AF4AA4">
            <w:r>
              <w:rPr>
                <w:rFonts w:cs="Arial"/>
              </w:rPr>
              <w:t>Benefit</w:t>
            </w:r>
            <w:r w:rsidR="00892835">
              <w:rPr>
                <w:rFonts w:cs="Arial"/>
              </w:rPr>
              <w:t xml:space="preserve"> (Return)</w:t>
            </w:r>
          </w:p>
        </w:tc>
        <w:tc>
          <w:tcPr>
            <w:tcW w:w="3758" w:type="dxa"/>
            <w:shd w:val="clear" w:color="auto" w:fill="D9D9D9" w:themeFill="background1" w:themeFillShade="D9"/>
          </w:tcPr>
          <w:p w:rsidR="00AF4AA4" w:rsidRPr="00AF4AA4" w:rsidRDefault="00AF4AA4" w:rsidP="00AF4AA4">
            <w:pPr>
              <w:autoSpaceDE w:val="0"/>
              <w:autoSpaceDN w:val="0"/>
              <w:adjustRightInd w:val="0"/>
              <w:rPr>
                <w:rFonts w:cs="Arial"/>
              </w:rPr>
            </w:pPr>
            <w:r>
              <w:rPr>
                <w:rFonts w:cs="Arial"/>
              </w:rPr>
              <w:t>Total</w:t>
            </w:r>
          </w:p>
        </w:tc>
      </w:tr>
      <w:tr w:rsidR="00AF4AA4" w:rsidTr="00AF4AA4">
        <w:tc>
          <w:tcPr>
            <w:tcW w:w="3757" w:type="dxa"/>
            <w:gridSpan w:val="2"/>
          </w:tcPr>
          <w:p w:rsidR="00AF4AA4" w:rsidRDefault="00AF4AA4" w:rsidP="00AF4AA4">
            <w:r w:rsidRPr="00243FDF">
              <w:rPr>
                <w:rFonts w:cs="Arial"/>
                <w:b/>
                <w:color w:val="984806" w:themeColor="accent6" w:themeShade="80"/>
              </w:rPr>
              <w:t>$ 1,661,000</w:t>
            </w:r>
          </w:p>
        </w:tc>
        <w:tc>
          <w:tcPr>
            <w:tcW w:w="3758" w:type="dxa"/>
          </w:tcPr>
          <w:p w:rsidR="00AF4AA4" w:rsidRDefault="00AF4AA4" w:rsidP="00AF4AA4">
            <w:r w:rsidRPr="00AF4AA4">
              <w:rPr>
                <w:b/>
                <w:color w:val="0070C0"/>
              </w:rPr>
              <w:t xml:space="preserve">$ </w:t>
            </w:r>
            <w:r>
              <w:rPr>
                <w:b/>
                <w:color w:val="0070C0"/>
              </w:rPr>
              <w:t>2,000</w:t>
            </w:r>
            <w:r w:rsidRPr="00AF4AA4">
              <w:rPr>
                <w:b/>
                <w:color w:val="0070C0"/>
              </w:rPr>
              <w:t>,000</w:t>
            </w:r>
            <w:r>
              <w:rPr>
                <w:b/>
                <w:color w:val="0070C0"/>
              </w:rPr>
              <w:t xml:space="preserve"> (place-holder)</w:t>
            </w:r>
          </w:p>
        </w:tc>
        <w:tc>
          <w:tcPr>
            <w:tcW w:w="3758" w:type="dxa"/>
          </w:tcPr>
          <w:p w:rsidR="00AF4AA4" w:rsidRDefault="00892835" w:rsidP="00AF4AA4">
            <w:r>
              <w:t>$ 339,000</w:t>
            </w:r>
          </w:p>
        </w:tc>
      </w:tr>
    </w:tbl>
    <w:p w:rsidR="00AF4AA4" w:rsidRDefault="00AF4AA4" w:rsidP="004B5355">
      <w:pPr>
        <w:pStyle w:val="Heading2"/>
        <w:numPr>
          <w:ilvl w:val="0"/>
          <w:numId w:val="0"/>
        </w:numPr>
        <w:rPr>
          <w:lang w:val="en-CA" w:eastAsia="en-CA"/>
        </w:rPr>
      </w:pPr>
    </w:p>
    <w:p w:rsidR="00394299" w:rsidRPr="00394299" w:rsidRDefault="00892835" w:rsidP="00AE4C74">
      <w:pPr>
        <w:pStyle w:val="Heading1"/>
      </w:pPr>
      <w:bookmarkStart w:id="11" w:name="_Toc286060932"/>
      <w:r>
        <w:t xml:space="preserve">ITSM </w:t>
      </w:r>
      <w:r w:rsidR="00394299">
        <w:t>Roadmap Milestone Summary</w:t>
      </w:r>
      <w:bookmarkEnd w:id="11"/>
    </w:p>
    <w:tbl>
      <w:tblPr>
        <w:tblStyle w:val="TableGrid"/>
        <w:tblW w:w="0" w:type="auto"/>
        <w:tblLook w:val="04A0"/>
      </w:tblPr>
      <w:tblGrid>
        <w:gridCol w:w="1101"/>
        <w:gridCol w:w="5528"/>
        <w:gridCol w:w="2947"/>
      </w:tblGrid>
      <w:tr w:rsidR="00394299" w:rsidTr="00394299">
        <w:tc>
          <w:tcPr>
            <w:tcW w:w="1101" w:type="dxa"/>
          </w:tcPr>
          <w:p w:rsidR="00394299" w:rsidRPr="00827908" w:rsidRDefault="00394299" w:rsidP="00394299">
            <w:pPr>
              <w:pStyle w:val="Body"/>
              <w:ind w:left="0"/>
            </w:pPr>
            <w:r w:rsidRPr="00827908">
              <w:t>Year</w:t>
            </w:r>
            <w:r>
              <w:t>-QX</w:t>
            </w:r>
          </w:p>
        </w:tc>
        <w:tc>
          <w:tcPr>
            <w:tcW w:w="5528" w:type="dxa"/>
          </w:tcPr>
          <w:p w:rsidR="00394299" w:rsidRPr="00827908" w:rsidRDefault="00394299" w:rsidP="00394299">
            <w:pPr>
              <w:pStyle w:val="Body"/>
              <w:ind w:left="0"/>
            </w:pPr>
            <w:r w:rsidRPr="00827908">
              <w:t>Milestone</w:t>
            </w:r>
          </w:p>
        </w:tc>
        <w:tc>
          <w:tcPr>
            <w:tcW w:w="2947" w:type="dxa"/>
          </w:tcPr>
          <w:p w:rsidR="00394299" w:rsidRPr="00827908" w:rsidRDefault="00394299" w:rsidP="00394299">
            <w:pPr>
              <w:pStyle w:val="Body"/>
              <w:ind w:left="0"/>
            </w:pPr>
            <w:r>
              <w:t>Dependencies</w:t>
            </w:r>
          </w:p>
        </w:tc>
      </w:tr>
      <w:tr w:rsidR="00394299" w:rsidTr="00394299">
        <w:tc>
          <w:tcPr>
            <w:tcW w:w="1101" w:type="dxa"/>
          </w:tcPr>
          <w:p w:rsidR="00394299" w:rsidRPr="00827908" w:rsidRDefault="00394299" w:rsidP="00394299">
            <w:pPr>
              <w:pStyle w:val="Body"/>
              <w:ind w:left="0"/>
            </w:pPr>
            <w:r>
              <w:t>2011 start</w:t>
            </w:r>
          </w:p>
        </w:tc>
        <w:tc>
          <w:tcPr>
            <w:tcW w:w="5528" w:type="dxa"/>
          </w:tcPr>
          <w:p w:rsidR="00394299" w:rsidRPr="00827908" w:rsidRDefault="00394299" w:rsidP="00394299">
            <w:pPr>
              <w:pStyle w:val="Body"/>
              <w:ind w:left="0"/>
            </w:pPr>
            <w:bookmarkStart w:id="12" w:name="_GoBack"/>
            <w:bookmarkEnd w:id="12"/>
            <w:r>
              <w:t>ITSM Tool Suite Selection</w:t>
            </w:r>
          </w:p>
        </w:tc>
        <w:tc>
          <w:tcPr>
            <w:tcW w:w="2947" w:type="dxa"/>
          </w:tcPr>
          <w:p w:rsidR="00394299" w:rsidRPr="00827908" w:rsidRDefault="00394299" w:rsidP="00394299">
            <w:pPr>
              <w:pStyle w:val="Body"/>
              <w:ind w:left="0"/>
            </w:pPr>
          </w:p>
        </w:tc>
      </w:tr>
      <w:tr w:rsidR="00394299" w:rsidTr="00394299">
        <w:trPr>
          <w:trHeight w:val="640"/>
        </w:trPr>
        <w:tc>
          <w:tcPr>
            <w:tcW w:w="1101" w:type="dxa"/>
          </w:tcPr>
          <w:p w:rsidR="00394299" w:rsidRPr="00827908" w:rsidRDefault="00394299" w:rsidP="00394299">
            <w:pPr>
              <w:pStyle w:val="Body"/>
              <w:ind w:left="0"/>
            </w:pPr>
            <w:r>
              <w:t>2011 Q1</w:t>
            </w:r>
          </w:p>
        </w:tc>
        <w:tc>
          <w:tcPr>
            <w:tcW w:w="5528" w:type="dxa"/>
          </w:tcPr>
          <w:p w:rsidR="00394299" w:rsidRPr="00827908" w:rsidRDefault="00394299" w:rsidP="00394299">
            <w:pPr>
              <w:pStyle w:val="Body"/>
              <w:ind w:left="0"/>
            </w:pPr>
            <w:r>
              <w:t>ITSM Tool Suite - IAM integration</w:t>
            </w:r>
          </w:p>
        </w:tc>
        <w:tc>
          <w:tcPr>
            <w:tcW w:w="2947" w:type="dxa"/>
          </w:tcPr>
          <w:p w:rsidR="00394299" w:rsidRPr="00827908" w:rsidRDefault="00394299" w:rsidP="00394299">
            <w:pPr>
              <w:pStyle w:val="Body"/>
              <w:ind w:left="0"/>
            </w:pPr>
            <w:r>
              <w:t xml:space="preserve">ITSM Tool Suite Selection, Identity Management </w:t>
            </w:r>
          </w:p>
        </w:tc>
      </w:tr>
      <w:tr w:rsidR="00394299" w:rsidTr="00394299">
        <w:tc>
          <w:tcPr>
            <w:tcW w:w="1101" w:type="dxa"/>
          </w:tcPr>
          <w:p w:rsidR="00394299" w:rsidRPr="00827908" w:rsidRDefault="00394299" w:rsidP="00394299">
            <w:pPr>
              <w:pStyle w:val="Body"/>
              <w:ind w:left="0"/>
            </w:pPr>
            <w:r>
              <w:t>2011 Q1</w:t>
            </w:r>
          </w:p>
        </w:tc>
        <w:tc>
          <w:tcPr>
            <w:tcW w:w="5528" w:type="dxa"/>
          </w:tcPr>
          <w:p w:rsidR="00394299" w:rsidRPr="00827908" w:rsidRDefault="00394299" w:rsidP="00394299">
            <w:pPr>
              <w:pStyle w:val="Body"/>
              <w:ind w:left="0"/>
            </w:pPr>
            <w:r>
              <w:t>Incident Management (IM) Process and Tool to UBC IT – all departments</w:t>
            </w:r>
          </w:p>
        </w:tc>
        <w:tc>
          <w:tcPr>
            <w:tcW w:w="2947" w:type="dxa"/>
          </w:tcPr>
          <w:p w:rsidR="00394299" w:rsidRPr="00827908" w:rsidRDefault="00394299" w:rsidP="00394299">
            <w:pPr>
              <w:pStyle w:val="Body"/>
              <w:ind w:left="0"/>
            </w:pPr>
          </w:p>
        </w:tc>
      </w:tr>
      <w:tr w:rsidR="00394299" w:rsidTr="00394299">
        <w:tc>
          <w:tcPr>
            <w:tcW w:w="1101" w:type="dxa"/>
          </w:tcPr>
          <w:p w:rsidR="00394299" w:rsidRPr="00827908" w:rsidRDefault="00394299" w:rsidP="00394299">
            <w:pPr>
              <w:pStyle w:val="Body"/>
              <w:ind w:left="0"/>
            </w:pPr>
            <w:r>
              <w:t>2011 Q2</w:t>
            </w:r>
          </w:p>
        </w:tc>
        <w:tc>
          <w:tcPr>
            <w:tcW w:w="5528" w:type="dxa"/>
          </w:tcPr>
          <w:p w:rsidR="00394299" w:rsidRPr="00827908" w:rsidRDefault="00394299" w:rsidP="00394299">
            <w:pPr>
              <w:pStyle w:val="Body"/>
              <w:ind w:left="0"/>
            </w:pPr>
            <w:r>
              <w:t xml:space="preserve">Onboard ITSM Partner groups for IM Process and Tool </w:t>
            </w:r>
          </w:p>
        </w:tc>
        <w:tc>
          <w:tcPr>
            <w:tcW w:w="2947" w:type="dxa"/>
          </w:tcPr>
          <w:p w:rsidR="00394299" w:rsidRPr="00827908" w:rsidRDefault="00394299" w:rsidP="00394299">
            <w:pPr>
              <w:pStyle w:val="Body"/>
              <w:ind w:left="0"/>
            </w:pPr>
          </w:p>
        </w:tc>
      </w:tr>
      <w:tr w:rsidR="00394299" w:rsidTr="00394299">
        <w:tc>
          <w:tcPr>
            <w:tcW w:w="1101" w:type="dxa"/>
          </w:tcPr>
          <w:p w:rsidR="00394299" w:rsidRPr="00827908" w:rsidRDefault="00394299" w:rsidP="00394299">
            <w:pPr>
              <w:pStyle w:val="Body"/>
              <w:ind w:left="0"/>
            </w:pPr>
            <w:r>
              <w:t>2011 Q2</w:t>
            </w:r>
          </w:p>
        </w:tc>
        <w:tc>
          <w:tcPr>
            <w:tcW w:w="5528" w:type="dxa"/>
          </w:tcPr>
          <w:p w:rsidR="00394299" w:rsidRPr="00827908" w:rsidRDefault="00394299" w:rsidP="00394299">
            <w:pPr>
              <w:pStyle w:val="Body"/>
              <w:ind w:left="0"/>
            </w:pPr>
            <w:r>
              <w:t>Initial Request Fulfillment (RF) to UBC IT departments – continues to roll out to 2012.</w:t>
            </w:r>
          </w:p>
        </w:tc>
        <w:tc>
          <w:tcPr>
            <w:tcW w:w="2947" w:type="dxa"/>
          </w:tcPr>
          <w:p w:rsidR="00394299" w:rsidRPr="00827908" w:rsidRDefault="00394299" w:rsidP="00394299">
            <w:pPr>
              <w:pStyle w:val="Body"/>
              <w:ind w:left="0"/>
            </w:pPr>
            <w:r>
              <w:t>IAM Entitlement Engine</w:t>
            </w:r>
          </w:p>
        </w:tc>
      </w:tr>
      <w:tr w:rsidR="00394299" w:rsidTr="00394299">
        <w:tc>
          <w:tcPr>
            <w:tcW w:w="1101" w:type="dxa"/>
          </w:tcPr>
          <w:p w:rsidR="00394299" w:rsidRPr="00827908" w:rsidRDefault="00394299" w:rsidP="00394299">
            <w:pPr>
              <w:pStyle w:val="Body"/>
              <w:ind w:left="0"/>
            </w:pPr>
            <w:r>
              <w:t>2011 Q3/4</w:t>
            </w:r>
          </w:p>
        </w:tc>
        <w:tc>
          <w:tcPr>
            <w:tcW w:w="5528" w:type="dxa"/>
          </w:tcPr>
          <w:p w:rsidR="00394299" w:rsidRPr="00827908" w:rsidRDefault="00394299" w:rsidP="00394299">
            <w:pPr>
              <w:pStyle w:val="Body"/>
              <w:ind w:left="0"/>
            </w:pPr>
            <w:r>
              <w:t>Onboard ITSM Partner groups for RF – RF continues to roll out to 2012.</w:t>
            </w:r>
          </w:p>
        </w:tc>
        <w:tc>
          <w:tcPr>
            <w:tcW w:w="2947" w:type="dxa"/>
          </w:tcPr>
          <w:p w:rsidR="00394299" w:rsidRPr="00827908" w:rsidRDefault="00394299" w:rsidP="00394299">
            <w:pPr>
              <w:pStyle w:val="Body"/>
              <w:ind w:left="0"/>
            </w:pPr>
          </w:p>
        </w:tc>
      </w:tr>
      <w:tr w:rsidR="00394299" w:rsidTr="00394299">
        <w:tc>
          <w:tcPr>
            <w:tcW w:w="1101" w:type="dxa"/>
          </w:tcPr>
          <w:p w:rsidR="00394299" w:rsidRPr="00827908" w:rsidRDefault="00394299" w:rsidP="00394299">
            <w:pPr>
              <w:pStyle w:val="Body"/>
              <w:ind w:left="0"/>
            </w:pPr>
            <w:r>
              <w:t>2011 Q2/3</w:t>
            </w:r>
          </w:p>
        </w:tc>
        <w:tc>
          <w:tcPr>
            <w:tcW w:w="5528" w:type="dxa"/>
          </w:tcPr>
          <w:p w:rsidR="00394299" w:rsidRPr="00827908" w:rsidRDefault="00394299" w:rsidP="00394299">
            <w:pPr>
              <w:pStyle w:val="Body"/>
              <w:ind w:left="0"/>
            </w:pPr>
            <w:r>
              <w:t>Problem, Knowledge, Service Level Management to UBC IT and ITSM Partner Groups - continues to roll out to 2012.</w:t>
            </w:r>
          </w:p>
        </w:tc>
        <w:tc>
          <w:tcPr>
            <w:tcW w:w="2947" w:type="dxa"/>
          </w:tcPr>
          <w:p w:rsidR="00394299" w:rsidRPr="00827908" w:rsidRDefault="00394299" w:rsidP="00394299">
            <w:pPr>
              <w:pStyle w:val="Body"/>
              <w:ind w:left="0"/>
            </w:pPr>
          </w:p>
        </w:tc>
      </w:tr>
    </w:tbl>
    <w:p w:rsidR="008745C5" w:rsidRPr="00394299" w:rsidRDefault="008745C5" w:rsidP="00394299">
      <w:pPr>
        <w:pStyle w:val="Heading3"/>
      </w:pPr>
      <w:r>
        <w:br w:type="page"/>
      </w:r>
    </w:p>
    <w:p w:rsidR="009163B8" w:rsidRPr="00D41783" w:rsidRDefault="00892835" w:rsidP="00892835">
      <w:pPr>
        <w:pStyle w:val="Heading1"/>
      </w:pPr>
      <w:bookmarkStart w:id="13" w:name="_Toc286060933"/>
      <w:r>
        <w:lastRenderedPageBreak/>
        <w:t xml:space="preserve">APPENDIX A: </w:t>
      </w:r>
      <w:r w:rsidR="009163B8">
        <w:t>ITSM Overview</w:t>
      </w:r>
      <w:bookmarkEnd w:id="13"/>
    </w:p>
    <w:p w:rsidR="009163B8" w:rsidRPr="00C57273" w:rsidRDefault="009163B8" w:rsidP="00892835">
      <w:pPr>
        <w:pStyle w:val="Heading2"/>
        <w:rPr>
          <w:rStyle w:val="Emphasis"/>
          <w:i w:val="0"/>
        </w:rPr>
      </w:pPr>
      <w:bookmarkStart w:id="14" w:name="_Toc272920535"/>
      <w:bookmarkStart w:id="15" w:name="_Toc286060934"/>
      <w:r w:rsidRPr="00C57273">
        <w:rPr>
          <w:rStyle w:val="Emphasis"/>
          <w:i w:val="0"/>
          <w:sz w:val="22"/>
        </w:rPr>
        <w:t>IT Service Management (ITSM)</w:t>
      </w:r>
      <w:bookmarkEnd w:id="15"/>
      <w:r w:rsidRPr="00C57273">
        <w:rPr>
          <w:rStyle w:val="Emphasis"/>
          <w:i w:val="0"/>
          <w:sz w:val="22"/>
        </w:rPr>
        <w:t xml:space="preserve"> </w:t>
      </w:r>
    </w:p>
    <w:p w:rsidR="009163B8" w:rsidRPr="00C57273" w:rsidRDefault="009163B8" w:rsidP="009163B8">
      <w:pPr>
        <w:spacing w:after="0" w:line="240" w:lineRule="auto"/>
        <w:rPr>
          <w:rStyle w:val="Emphasis"/>
          <w:i w:val="0"/>
        </w:rPr>
      </w:pPr>
      <w:r>
        <w:rPr>
          <w:rStyle w:val="Emphasis"/>
          <w:i w:val="0"/>
        </w:rPr>
        <w:t>ITSM</w:t>
      </w:r>
      <w:r w:rsidRPr="00C57273">
        <w:rPr>
          <w:rStyle w:val="Emphasis"/>
          <w:i w:val="0"/>
        </w:rPr>
        <w:t xml:space="preserve"> is a customer centric IT management </w:t>
      </w:r>
      <w:proofErr w:type="gramStart"/>
      <w:r w:rsidRPr="00C57273">
        <w:rPr>
          <w:rStyle w:val="Emphasis"/>
          <w:i w:val="0"/>
        </w:rPr>
        <w:t>discipline</w:t>
      </w:r>
      <w:proofErr w:type="gramEnd"/>
      <w:r w:rsidRPr="00C57273">
        <w:rPr>
          <w:rStyle w:val="Emphasis"/>
          <w:i w:val="0"/>
        </w:rPr>
        <w:t xml:space="preserve"> which:</w:t>
      </w:r>
      <w:bookmarkEnd w:id="14"/>
    </w:p>
    <w:p w:rsidR="009163B8" w:rsidRPr="00797458" w:rsidRDefault="009163B8" w:rsidP="001E0372">
      <w:pPr>
        <w:numPr>
          <w:ilvl w:val="0"/>
          <w:numId w:val="4"/>
        </w:numPr>
        <w:spacing w:after="0"/>
        <w:ind w:left="714" w:hanging="357"/>
        <w:rPr>
          <w:lang w:val="en-CA" w:eastAsia="en-CA"/>
        </w:rPr>
      </w:pPr>
      <w:r w:rsidRPr="00797458">
        <w:rPr>
          <w:lang w:val="en-CA" w:eastAsia="en-CA"/>
        </w:rPr>
        <w:t>Starts with the customer or business needs when designing IT services.</w:t>
      </w:r>
    </w:p>
    <w:p w:rsidR="009163B8" w:rsidRPr="00797458" w:rsidRDefault="009163B8" w:rsidP="001E0372">
      <w:pPr>
        <w:numPr>
          <w:ilvl w:val="0"/>
          <w:numId w:val="4"/>
        </w:numPr>
        <w:spacing w:after="0"/>
        <w:ind w:left="714" w:hanging="357"/>
        <w:rPr>
          <w:lang w:val="en-CA" w:eastAsia="en-CA"/>
        </w:rPr>
      </w:pPr>
      <w:r w:rsidRPr="00797458">
        <w:rPr>
          <w:lang w:val="en-CA" w:eastAsia="en-CA"/>
        </w:rPr>
        <w:t>Process focused when designing, managing and supporting the delivery of IT services.</w:t>
      </w:r>
    </w:p>
    <w:p w:rsidR="009163B8" w:rsidRPr="00797458" w:rsidRDefault="009163B8" w:rsidP="001E0372">
      <w:pPr>
        <w:numPr>
          <w:ilvl w:val="0"/>
          <w:numId w:val="4"/>
        </w:numPr>
        <w:spacing w:after="0"/>
        <w:ind w:left="714" w:hanging="357"/>
        <w:rPr>
          <w:lang w:val="en-CA" w:eastAsia="en-CA"/>
        </w:rPr>
      </w:pPr>
      <w:r w:rsidRPr="00797458">
        <w:rPr>
          <w:lang w:val="en-CA" w:eastAsia="en-CA"/>
        </w:rPr>
        <w:t>Not concerned with technical details of the systems under management; it focuses on structuring interactions between IT personnel and business customers and users.</w:t>
      </w:r>
    </w:p>
    <w:p w:rsidR="009163B8" w:rsidRDefault="009163B8" w:rsidP="00892835">
      <w:pPr>
        <w:pStyle w:val="Heading2"/>
        <w:rPr>
          <w:rStyle w:val="Emphasis"/>
          <w:i w:val="0"/>
          <w:lang w:eastAsia="en-CA"/>
        </w:rPr>
      </w:pPr>
      <w:bookmarkStart w:id="16" w:name="_Toc272920536"/>
      <w:bookmarkStart w:id="17" w:name="_Toc286060935"/>
      <w:r w:rsidRPr="00C57273">
        <w:rPr>
          <w:rStyle w:val="Emphasis"/>
          <w:i w:val="0"/>
          <w:sz w:val="22"/>
          <w:lang w:eastAsia="en-CA"/>
        </w:rPr>
        <w:t>The Information Technology Infrastructure Library (ITIL)</w:t>
      </w:r>
      <w:bookmarkEnd w:id="17"/>
    </w:p>
    <w:p w:rsidR="009163B8" w:rsidRPr="00C57273" w:rsidRDefault="009163B8" w:rsidP="009163B8">
      <w:pPr>
        <w:spacing w:after="0"/>
        <w:rPr>
          <w:rStyle w:val="Emphasis"/>
          <w:i w:val="0"/>
        </w:rPr>
      </w:pPr>
      <w:r w:rsidRPr="00C57273">
        <w:rPr>
          <w:rStyle w:val="Emphasis"/>
          <w:i w:val="0"/>
          <w:lang w:eastAsia="en-CA"/>
        </w:rPr>
        <w:t>ITIL is:</w:t>
      </w:r>
      <w:bookmarkEnd w:id="16"/>
    </w:p>
    <w:p w:rsidR="009163B8" w:rsidRPr="00797458" w:rsidRDefault="009163B8" w:rsidP="001E0372">
      <w:pPr>
        <w:numPr>
          <w:ilvl w:val="0"/>
          <w:numId w:val="4"/>
        </w:numPr>
        <w:spacing w:after="0"/>
        <w:rPr>
          <w:lang w:val="en-CA" w:eastAsia="en-CA"/>
        </w:rPr>
      </w:pPr>
      <w:r w:rsidRPr="00797458">
        <w:rPr>
          <w:lang w:eastAsia="en-CA"/>
        </w:rPr>
        <w:t xml:space="preserve">A globally recognized set of best practices for IT Service Management (ITSM). </w:t>
      </w:r>
    </w:p>
    <w:p w:rsidR="009163B8" w:rsidRPr="00797458" w:rsidRDefault="009163B8" w:rsidP="001E0372">
      <w:pPr>
        <w:numPr>
          <w:ilvl w:val="0"/>
          <w:numId w:val="4"/>
        </w:numPr>
        <w:spacing w:after="0"/>
        <w:rPr>
          <w:lang w:val="en-CA" w:eastAsia="en-CA"/>
        </w:rPr>
      </w:pPr>
      <w:r w:rsidRPr="00797458">
        <w:rPr>
          <w:lang w:eastAsia="en-CA"/>
        </w:rPr>
        <w:t>Through a set of customizable principles and processes, ITIL describes effective and efficient ways to implement ITSM solutions over the service lifecycle.</w:t>
      </w:r>
    </w:p>
    <w:p w:rsidR="009163B8" w:rsidRPr="00797458" w:rsidRDefault="009163B8" w:rsidP="001E0372">
      <w:pPr>
        <w:numPr>
          <w:ilvl w:val="0"/>
          <w:numId w:val="4"/>
        </w:numPr>
        <w:spacing w:after="0"/>
        <w:rPr>
          <w:lang w:val="en-CA" w:eastAsia="en-CA"/>
        </w:rPr>
      </w:pPr>
      <w:r w:rsidRPr="00797458">
        <w:rPr>
          <w:lang w:eastAsia="en-CA"/>
        </w:rPr>
        <w:t>Establishes a common language across functions and org levels</w:t>
      </w:r>
    </w:p>
    <w:p w:rsidR="009163B8" w:rsidRPr="00D41783" w:rsidRDefault="009163B8" w:rsidP="001E0372">
      <w:pPr>
        <w:numPr>
          <w:ilvl w:val="0"/>
          <w:numId w:val="4"/>
        </w:numPr>
        <w:spacing w:after="0"/>
        <w:rPr>
          <w:lang w:val="en-CA" w:eastAsia="en-CA"/>
        </w:rPr>
      </w:pPr>
      <w:r w:rsidRPr="00797458">
        <w:rPr>
          <w:lang w:eastAsia="en-CA"/>
        </w:rPr>
        <w:t>Version 1 (functions), then V2 (processes), now V3 (service lifecycle)</w:t>
      </w:r>
    </w:p>
    <w:p w:rsidR="009163B8" w:rsidRDefault="009163B8" w:rsidP="009163B8">
      <w:pPr>
        <w:spacing w:after="0"/>
        <w:rPr>
          <w:lang w:eastAsia="en-CA"/>
        </w:rPr>
      </w:pPr>
    </w:p>
    <w:p w:rsidR="009163B8" w:rsidRPr="0094025E" w:rsidRDefault="009163B8" w:rsidP="009163B8">
      <w:pPr>
        <w:spacing w:after="0"/>
        <w:rPr>
          <w:lang w:val="en-CA" w:eastAsia="en-CA"/>
        </w:rPr>
      </w:pPr>
      <w:r w:rsidRPr="008F6BA2">
        <w:t>Organizations have moved to adopt ITIL in an effort to improve service, control costs, and provide the audit trails required by regulatory environments.</w:t>
      </w:r>
    </w:p>
    <w:p w:rsidR="009163B8" w:rsidRDefault="009163B8" w:rsidP="00892835">
      <w:pPr>
        <w:pStyle w:val="Heading2"/>
        <w:rPr>
          <w:rStyle w:val="Emphasis"/>
          <w:i w:val="0"/>
        </w:rPr>
      </w:pPr>
      <w:bookmarkStart w:id="18" w:name="_Toc272920537"/>
      <w:bookmarkStart w:id="19" w:name="_Toc286060936"/>
      <w:r>
        <w:rPr>
          <w:rStyle w:val="Emphasis"/>
          <w:i w:val="0"/>
          <w:sz w:val="22"/>
        </w:rPr>
        <w:t>ITSM Core</w:t>
      </w:r>
      <w:r w:rsidRPr="00C57273">
        <w:rPr>
          <w:rStyle w:val="Emphasis"/>
          <w:i w:val="0"/>
          <w:sz w:val="22"/>
        </w:rPr>
        <w:t xml:space="preserve"> principles</w:t>
      </w:r>
      <w:bookmarkEnd w:id="19"/>
    </w:p>
    <w:p w:rsidR="009163B8" w:rsidRPr="00C57273" w:rsidRDefault="009163B8" w:rsidP="009163B8">
      <w:pPr>
        <w:spacing w:after="0"/>
        <w:rPr>
          <w:rStyle w:val="Emphasis"/>
          <w:i w:val="0"/>
        </w:rPr>
      </w:pPr>
      <w:r w:rsidRPr="00C57273">
        <w:rPr>
          <w:rStyle w:val="Emphasis"/>
          <w:i w:val="0"/>
        </w:rPr>
        <w:t>ITIL principles to ensure consistency, repeatability, standards and enable scalability of IT processes include:</w:t>
      </w:r>
      <w:bookmarkEnd w:id="18"/>
    </w:p>
    <w:p w:rsidR="009163B8" w:rsidRPr="00520D02" w:rsidRDefault="009163B8" w:rsidP="001E0372">
      <w:pPr>
        <w:numPr>
          <w:ilvl w:val="1"/>
          <w:numId w:val="2"/>
        </w:numPr>
        <w:spacing w:after="0" w:line="240" w:lineRule="auto"/>
      </w:pPr>
      <w:r w:rsidRPr="00520D02">
        <w:t>Value to the Customer</w:t>
      </w:r>
    </w:p>
    <w:p w:rsidR="009163B8" w:rsidRPr="00520D02" w:rsidRDefault="009163B8" w:rsidP="001E0372">
      <w:pPr>
        <w:numPr>
          <w:ilvl w:val="2"/>
          <w:numId w:val="2"/>
        </w:numPr>
        <w:spacing w:after="120" w:line="240" w:lineRule="auto"/>
      </w:pPr>
      <w:r w:rsidRPr="00520D02">
        <w:t>Strategize and design service to provide value in a customer centric way that meets customer priorities and goals.</w:t>
      </w:r>
    </w:p>
    <w:p w:rsidR="009163B8" w:rsidRPr="00520D02" w:rsidRDefault="009163B8" w:rsidP="001E0372">
      <w:pPr>
        <w:numPr>
          <w:ilvl w:val="1"/>
          <w:numId w:val="2"/>
        </w:numPr>
        <w:spacing w:after="120" w:line="240" w:lineRule="auto"/>
      </w:pPr>
      <w:r w:rsidRPr="00520D02">
        <w:t xml:space="preserve"> Cross-Functional Integration</w:t>
      </w:r>
    </w:p>
    <w:p w:rsidR="009163B8" w:rsidRDefault="009163B8" w:rsidP="001E0372">
      <w:pPr>
        <w:numPr>
          <w:ilvl w:val="2"/>
          <w:numId w:val="2"/>
        </w:numPr>
        <w:spacing w:after="120" w:line="240" w:lineRule="auto"/>
      </w:pPr>
      <w:r w:rsidRPr="00520D02">
        <w:t>Service integration across campus: across customer organizations and across IT groups.</w:t>
      </w:r>
    </w:p>
    <w:p w:rsidR="009163B8" w:rsidRPr="00520D02" w:rsidRDefault="009163B8" w:rsidP="001E0372">
      <w:pPr>
        <w:numPr>
          <w:ilvl w:val="2"/>
          <w:numId w:val="2"/>
        </w:numPr>
        <w:spacing w:after="120" w:line="240" w:lineRule="auto"/>
      </w:pPr>
      <w:r w:rsidRPr="00520D02">
        <w:t>Process and workflow integration across the service management lifecycle (Strategy--&gt;Design--&gt;Transition--&gt; Operations)</w:t>
      </w:r>
    </w:p>
    <w:p w:rsidR="009163B8" w:rsidRPr="00520D02" w:rsidRDefault="009163B8" w:rsidP="001E0372">
      <w:pPr>
        <w:numPr>
          <w:ilvl w:val="1"/>
          <w:numId w:val="2"/>
        </w:numPr>
        <w:spacing w:after="120" w:line="240" w:lineRule="auto"/>
      </w:pPr>
      <w:r w:rsidRPr="00520D02">
        <w:t>Graduated Continuous Improvement</w:t>
      </w:r>
    </w:p>
    <w:p w:rsidR="009163B8" w:rsidRPr="0094025E" w:rsidRDefault="009163B8" w:rsidP="001E0372">
      <w:pPr>
        <w:numPr>
          <w:ilvl w:val="2"/>
          <w:numId w:val="2"/>
        </w:numPr>
        <w:spacing w:after="120" w:line="240" w:lineRule="auto"/>
      </w:pPr>
      <w:r w:rsidRPr="00520D02">
        <w:t>Identify qualitative and quantitative measures to apply incremental improvements that continually align and re-align the IT service(s) to changing customer needs.</w:t>
      </w:r>
    </w:p>
    <w:p w:rsidR="009163B8" w:rsidRDefault="009163B8" w:rsidP="00892835">
      <w:pPr>
        <w:pStyle w:val="Heading2"/>
        <w:rPr>
          <w:lang w:val="en-CA" w:eastAsia="en-CA"/>
        </w:rPr>
      </w:pPr>
      <w:bookmarkStart w:id="20" w:name="_Toc286060937"/>
      <w:r>
        <w:rPr>
          <w:lang w:val="en-CA" w:eastAsia="en-CA"/>
        </w:rPr>
        <w:t>IT Service Management Includes</w:t>
      </w:r>
      <w:bookmarkEnd w:id="20"/>
    </w:p>
    <w:p w:rsidR="009163B8" w:rsidRDefault="009163B8" w:rsidP="009163B8">
      <w:pPr>
        <w:spacing w:after="0" w:line="240" w:lineRule="auto"/>
      </w:pPr>
      <w:r>
        <w:t>ITSM includes The Service includes the following select ITIL practice areas</w:t>
      </w:r>
      <w:r w:rsidR="00892835">
        <w:t xml:space="preserve"> (does not include all ITIL process areas)</w:t>
      </w:r>
      <w:r>
        <w:t>:</w:t>
      </w:r>
    </w:p>
    <w:p w:rsidR="009163B8" w:rsidRPr="00584D0B" w:rsidRDefault="009163B8" w:rsidP="009163B8">
      <w:pPr>
        <w:spacing w:after="0" w:line="240" w:lineRule="auto"/>
        <w:ind w:left="720"/>
        <w:rPr>
          <w:u w:val="single"/>
        </w:rPr>
      </w:pPr>
      <w:r w:rsidRPr="00584D0B">
        <w:rPr>
          <w:u w:val="single"/>
        </w:rPr>
        <w:t>Service Catalogue (SC)</w:t>
      </w:r>
    </w:p>
    <w:p w:rsidR="009163B8" w:rsidRDefault="009163B8" w:rsidP="009163B8">
      <w:pPr>
        <w:spacing w:after="0" w:line="240" w:lineRule="auto"/>
        <w:ind w:left="720"/>
      </w:pPr>
      <w:r>
        <w:t>Service Catalogue provides a widely available, single source of consistent information on all agreed services. Service details, status, interfaces and dependencies should be identified.</w:t>
      </w:r>
    </w:p>
    <w:p w:rsidR="009163B8" w:rsidRPr="007A2B8E" w:rsidRDefault="009163B8" w:rsidP="009163B8">
      <w:pPr>
        <w:spacing w:after="0" w:line="240" w:lineRule="auto"/>
        <w:ind w:left="1080"/>
      </w:pPr>
    </w:p>
    <w:p w:rsidR="009163B8" w:rsidRPr="00584D0B" w:rsidRDefault="009163B8" w:rsidP="009163B8">
      <w:pPr>
        <w:spacing w:after="0" w:line="240" w:lineRule="auto"/>
        <w:ind w:left="720"/>
        <w:rPr>
          <w:u w:val="single"/>
        </w:rPr>
      </w:pPr>
      <w:r w:rsidRPr="00584D0B">
        <w:rPr>
          <w:u w:val="single"/>
        </w:rPr>
        <w:t>Service Level Management (SLM)</w:t>
      </w:r>
    </w:p>
    <w:p w:rsidR="009163B8" w:rsidRDefault="009163B8" w:rsidP="009163B8">
      <w:pPr>
        <w:spacing w:after="0" w:line="240" w:lineRule="auto"/>
        <w:ind w:left="720"/>
      </w:pPr>
      <w:r>
        <w:t>SLM ensures all current and future IT services are delivered to agreed achievable targets and takes proactive measures in improving the level of services delivered.</w:t>
      </w:r>
    </w:p>
    <w:p w:rsidR="009163B8" w:rsidRPr="007A2B8E" w:rsidRDefault="009163B8" w:rsidP="009163B8">
      <w:pPr>
        <w:spacing w:after="0" w:line="240" w:lineRule="auto"/>
        <w:ind w:left="720"/>
      </w:pPr>
    </w:p>
    <w:p w:rsidR="009163B8" w:rsidRPr="00584D0B" w:rsidRDefault="009163B8" w:rsidP="009163B8">
      <w:pPr>
        <w:spacing w:after="0" w:line="240" w:lineRule="auto"/>
        <w:ind w:left="720"/>
        <w:rPr>
          <w:u w:val="single"/>
        </w:rPr>
      </w:pPr>
      <w:r w:rsidRPr="00584D0B">
        <w:rPr>
          <w:u w:val="single"/>
        </w:rPr>
        <w:t>Change Management (</w:t>
      </w:r>
      <w:proofErr w:type="spellStart"/>
      <w:r w:rsidRPr="00584D0B">
        <w:rPr>
          <w:u w:val="single"/>
        </w:rPr>
        <w:t>C</w:t>
      </w:r>
      <w:r>
        <w:rPr>
          <w:u w:val="single"/>
        </w:rPr>
        <w:t>h</w:t>
      </w:r>
      <w:r w:rsidRPr="00584D0B">
        <w:rPr>
          <w:u w:val="single"/>
        </w:rPr>
        <w:t>M</w:t>
      </w:r>
      <w:proofErr w:type="spellEnd"/>
      <w:r w:rsidRPr="00584D0B">
        <w:rPr>
          <w:u w:val="single"/>
        </w:rPr>
        <w:t xml:space="preserve">) </w:t>
      </w:r>
    </w:p>
    <w:p w:rsidR="009163B8" w:rsidRDefault="009163B8" w:rsidP="009163B8">
      <w:pPr>
        <w:spacing w:after="0" w:line="240" w:lineRule="auto"/>
        <w:ind w:left="720"/>
      </w:pPr>
      <w:r>
        <w:t xml:space="preserve">To reduce business risk, CM ensures there are standardized methods and procedures used for efficient and prompt handling of all changes to </w:t>
      </w:r>
      <w:proofErr w:type="spellStart"/>
      <w:r>
        <w:t>baselined</w:t>
      </w:r>
      <w:proofErr w:type="spellEnd"/>
      <w:r>
        <w:t xml:space="preserve"> service assets and configuration items across the whole Service </w:t>
      </w:r>
      <w:proofErr w:type="spellStart"/>
      <w:r>
        <w:t>Lifecyle</w:t>
      </w:r>
      <w:proofErr w:type="spellEnd"/>
      <w:r>
        <w:t>.</w:t>
      </w:r>
    </w:p>
    <w:p w:rsidR="009163B8" w:rsidRPr="007A2B8E" w:rsidRDefault="009163B8" w:rsidP="009163B8">
      <w:pPr>
        <w:spacing w:after="0" w:line="240" w:lineRule="auto"/>
        <w:ind w:left="360"/>
      </w:pPr>
    </w:p>
    <w:p w:rsidR="009163B8" w:rsidRPr="00584D0B" w:rsidRDefault="009163B8" w:rsidP="009163B8">
      <w:pPr>
        <w:spacing w:after="0" w:line="240" w:lineRule="auto"/>
        <w:ind w:left="720"/>
        <w:rPr>
          <w:u w:val="single"/>
        </w:rPr>
      </w:pPr>
      <w:r w:rsidRPr="00584D0B">
        <w:rPr>
          <w:u w:val="single"/>
        </w:rPr>
        <w:t>Configuration Management (</w:t>
      </w:r>
      <w:proofErr w:type="spellStart"/>
      <w:r>
        <w:rPr>
          <w:u w:val="single"/>
        </w:rPr>
        <w:t>CfM</w:t>
      </w:r>
      <w:proofErr w:type="spellEnd"/>
      <w:r w:rsidRPr="00584D0B">
        <w:rPr>
          <w:u w:val="single"/>
        </w:rPr>
        <w:t>)</w:t>
      </w:r>
    </w:p>
    <w:p w:rsidR="009163B8" w:rsidRDefault="009163B8" w:rsidP="009163B8">
      <w:pPr>
        <w:spacing w:after="0" w:line="240" w:lineRule="auto"/>
        <w:ind w:left="720"/>
      </w:pPr>
      <w:r>
        <w:t xml:space="preserve">Configuration Management ensures that selected components of a complete service, system or product (the configuration) are identified, </w:t>
      </w:r>
      <w:proofErr w:type="spellStart"/>
      <w:r>
        <w:t>baselined</w:t>
      </w:r>
      <w:proofErr w:type="spellEnd"/>
      <w:r>
        <w:t xml:space="preserve"> and maintained and that changes to them are controlled.</w:t>
      </w:r>
    </w:p>
    <w:p w:rsidR="009163B8" w:rsidRPr="007A2B8E" w:rsidRDefault="009163B8" w:rsidP="009163B8">
      <w:pPr>
        <w:spacing w:after="0" w:line="240" w:lineRule="auto"/>
        <w:ind w:left="720"/>
      </w:pPr>
    </w:p>
    <w:p w:rsidR="009163B8" w:rsidRPr="00584D0B" w:rsidRDefault="009163B8" w:rsidP="009163B8">
      <w:pPr>
        <w:spacing w:after="0" w:line="240" w:lineRule="auto"/>
        <w:ind w:left="720"/>
        <w:rPr>
          <w:u w:val="single"/>
        </w:rPr>
      </w:pPr>
      <w:r w:rsidRPr="00584D0B">
        <w:rPr>
          <w:u w:val="single"/>
        </w:rPr>
        <w:t>Knowledge Management (KM)</w:t>
      </w:r>
    </w:p>
    <w:p w:rsidR="009163B8" w:rsidRDefault="009163B8" w:rsidP="009163B8">
      <w:pPr>
        <w:spacing w:after="0" w:line="240" w:lineRule="auto"/>
        <w:ind w:left="720"/>
      </w:pPr>
      <w:r>
        <w:t>KM enables organizations to improve the quality of management decision making by ensuring that reliable and secure information and data are available throughout the service lifecycle.</w:t>
      </w:r>
    </w:p>
    <w:p w:rsidR="009163B8" w:rsidRDefault="009163B8" w:rsidP="009163B8">
      <w:pPr>
        <w:spacing w:after="0" w:line="240" w:lineRule="auto"/>
        <w:ind w:left="720"/>
        <w:rPr>
          <w:u w:val="single"/>
        </w:rPr>
      </w:pPr>
    </w:p>
    <w:p w:rsidR="009163B8" w:rsidRPr="00584D0B" w:rsidRDefault="009163B8" w:rsidP="009163B8">
      <w:pPr>
        <w:spacing w:after="0" w:line="240" w:lineRule="auto"/>
        <w:ind w:left="720"/>
        <w:rPr>
          <w:u w:val="single"/>
        </w:rPr>
      </w:pPr>
      <w:r w:rsidRPr="00584D0B">
        <w:rPr>
          <w:u w:val="single"/>
        </w:rPr>
        <w:t>Incident Management (IM)</w:t>
      </w:r>
    </w:p>
    <w:p w:rsidR="009163B8" w:rsidRDefault="009163B8" w:rsidP="009163B8">
      <w:pPr>
        <w:spacing w:after="0" w:line="240" w:lineRule="auto"/>
        <w:ind w:left="720"/>
      </w:pPr>
      <w:r>
        <w:t>The primary goal of IM is to restore normal service operation as quickly as possible and to minimize the adverse impact on business operations, ensuring that the best possible levels of service quality and availability are maintained.</w:t>
      </w:r>
    </w:p>
    <w:p w:rsidR="009163B8" w:rsidRPr="007A2B8E" w:rsidRDefault="009163B8" w:rsidP="009163B8">
      <w:pPr>
        <w:spacing w:after="0" w:line="240" w:lineRule="auto"/>
        <w:ind w:left="720"/>
      </w:pPr>
    </w:p>
    <w:p w:rsidR="009163B8" w:rsidRPr="00584D0B" w:rsidRDefault="009163B8" w:rsidP="009163B8">
      <w:pPr>
        <w:spacing w:after="0" w:line="240" w:lineRule="auto"/>
        <w:ind w:left="720"/>
        <w:rPr>
          <w:u w:val="single"/>
        </w:rPr>
      </w:pPr>
      <w:r w:rsidRPr="00584D0B">
        <w:rPr>
          <w:u w:val="single"/>
        </w:rPr>
        <w:t xml:space="preserve">Problem Management (PM) </w:t>
      </w:r>
    </w:p>
    <w:p w:rsidR="009163B8" w:rsidRDefault="009163B8" w:rsidP="009163B8">
      <w:pPr>
        <w:spacing w:after="0" w:line="240" w:lineRule="auto"/>
        <w:ind w:left="720"/>
      </w:pPr>
      <w:r>
        <w:t xml:space="preserve">PM includes activities to diagnose the root cause of incidents and to determine the resolution to those problems. The objectives of PM are to prevent problems and resulting incidents from happening, to eliminate recurring incidents, and to maintain information about problems and the appropriate workarounds. </w:t>
      </w:r>
    </w:p>
    <w:p w:rsidR="009163B8" w:rsidRPr="007A2B8E" w:rsidRDefault="009163B8" w:rsidP="009163B8">
      <w:pPr>
        <w:spacing w:after="0" w:line="240" w:lineRule="auto"/>
        <w:ind w:left="720"/>
      </w:pPr>
    </w:p>
    <w:p w:rsidR="009163B8" w:rsidRPr="00584D0B" w:rsidRDefault="009163B8" w:rsidP="009163B8">
      <w:pPr>
        <w:spacing w:after="0" w:line="240" w:lineRule="auto"/>
        <w:ind w:left="720"/>
        <w:rPr>
          <w:u w:val="single"/>
        </w:rPr>
      </w:pPr>
      <w:r w:rsidRPr="00584D0B">
        <w:rPr>
          <w:u w:val="single"/>
        </w:rPr>
        <w:t>Request Fulfillment (RF)</w:t>
      </w:r>
    </w:p>
    <w:p w:rsidR="009163B8" w:rsidRDefault="009163B8" w:rsidP="009163B8">
      <w:pPr>
        <w:spacing w:after="0" w:line="240" w:lineRule="auto"/>
        <w:ind w:left="720"/>
      </w:pPr>
      <w:r>
        <w:t>RF is the process for dealing with service requests from users and can usually be broken down into a set of activities that have to be performed. These requests are standard, repeated requests that required no change management so should be as automated as possible.</w:t>
      </w:r>
    </w:p>
    <w:p w:rsidR="004E4573" w:rsidRDefault="004E4573"/>
    <w:sectPr w:rsidR="004E4573" w:rsidSect="000C1DCC">
      <w:headerReference w:type="default" r:id="rId12"/>
      <w:footerReference w:type="default" r:id="rId13"/>
      <w:pgSz w:w="12240" w:h="15840"/>
      <w:pgMar w:top="1701" w:right="616" w:bottom="1560" w:left="567" w:header="426" w:footer="4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72" w:rsidRDefault="001E0372" w:rsidP="0083004A">
      <w:pPr>
        <w:spacing w:after="0" w:line="240" w:lineRule="auto"/>
      </w:pPr>
      <w:r>
        <w:separator/>
      </w:r>
    </w:p>
  </w:endnote>
  <w:endnote w:type="continuationSeparator" w:id="0">
    <w:p w:rsidR="001E0372" w:rsidRDefault="001E0372" w:rsidP="0083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560"/>
      <w:docPartObj>
        <w:docPartGallery w:val="Page Numbers (Bottom of Page)"/>
        <w:docPartUnique/>
      </w:docPartObj>
    </w:sdtPr>
    <w:sdtEndPr>
      <w:rPr>
        <w:color w:val="7F7F7F" w:themeColor="background1" w:themeShade="7F"/>
        <w:spacing w:val="60"/>
      </w:rPr>
    </w:sdtEndPr>
    <w:sdtContent>
      <w:p w:rsidR="00AE4C74" w:rsidRDefault="00AE4C74">
        <w:pPr>
          <w:pStyle w:val="Footer"/>
          <w:pBdr>
            <w:top w:val="single" w:sz="4" w:space="1" w:color="D9D9D9" w:themeColor="background1" w:themeShade="D9"/>
          </w:pBdr>
          <w:rPr>
            <w:b/>
          </w:rPr>
        </w:pPr>
        <w:fldSimple w:instr=" PAGE   \* MERGEFORMAT ">
          <w:r w:rsidR="00F836ED" w:rsidRPr="00F836ED">
            <w:rPr>
              <w:b/>
              <w:noProof/>
            </w:rPr>
            <w:t>2</w:t>
          </w:r>
        </w:fldSimple>
        <w:r>
          <w:rPr>
            <w:b/>
          </w:rPr>
          <w:t xml:space="preserve"> | </w:t>
        </w:r>
        <w:r>
          <w:rPr>
            <w:color w:val="7F7F7F" w:themeColor="background1" w:themeShade="7F"/>
            <w:spacing w:val="60"/>
          </w:rPr>
          <w:t>Page</w:t>
        </w:r>
      </w:p>
    </w:sdtContent>
  </w:sdt>
  <w:p w:rsidR="00AE4C74" w:rsidRDefault="00AE4C74" w:rsidP="00AE4C74">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561"/>
      <w:docPartObj>
        <w:docPartGallery w:val="Page Numbers (Bottom of Page)"/>
        <w:docPartUnique/>
      </w:docPartObj>
    </w:sdtPr>
    <w:sdtEndPr>
      <w:rPr>
        <w:color w:val="7F7F7F" w:themeColor="background1" w:themeShade="7F"/>
        <w:spacing w:val="60"/>
      </w:rPr>
    </w:sdtEndPr>
    <w:sdtContent>
      <w:p w:rsidR="00AE4C74" w:rsidRDefault="00AE4C74">
        <w:pPr>
          <w:pStyle w:val="Footer"/>
          <w:pBdr>
            <w:top w:val="single" w:sz="4" w:space="1" w:color="D9D9D9" w:themeColor="background1" w:themeShade="D9"/>
          </w:pBdr>
          <w:rPr>
            <w:b/>
          </w:rPr>
        </w:pPr>
        <w:fldSimple w:instr=" PAGE   \* MERGEFORMAT ">
          <w:r w:rsidR="004B5355" w:rsidRPr="004B5355">
            <w:rPr>
              <w:b/>
              <w:noProof/>
            </w:rPr>
            <w:t>9</w:t>
          </w:r>
        </w:fldSimple>
        <w:r>
          <w:rPr>
            <w:b/>
          </w:rPr>
          <w:t xml:space="preserve"> | </w:t>
        </w:r>
        <w:r>
          <w:rPr>
            <w:color w:val="7F7F7F" w:themeColor="background1" w:themeShade="7F"/>
            <w:spacing w:val="60"/>
          </w:rPr>
          <w:t>Page</w:t>
        </w:r>
      </w:p>
    </w:sdtContent>
  </w:sdt>
  <w:p w:rsidR="00892835" w:rsidRDefault="00892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72" w:rsidRDefault="001E0372" w:rsidP="0083004A">
      <w:pPr>
        <w:spacing w:after="0" w:line="240" w:lineRule="auto"/>
      </w:pPr>
      <w:r>
        <w:separator/>
      </w:r>
    </w:p>
  </w:footnote>
  <w:footnote w:type="continuationSeparator" w:id="0">
    <w:p w:rsidR="001E0372" w:rsidRDefault="001E0372" w:rsidP="00830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836ED">
      <w:trPr>
        <w:trHeight w:val="288"/>
      </w:trPr>
      <w:sdt>
        <w:sdtPr>
          <w:rPr>
            <w:rFonts w:asciiTheme="majorHAnsi" w:eastAsiaTheme="majorEastAsia" w:hAnsiTheme="majorHAnsi" w:cstheme="majorBidi"/>
            <w:sz w:val="36"/>
            <w:szCs w:val="36"/>
          </w:rPr>
          <w:alias w:val="Title"/>
          <w:id w:val="17700595"/>
          <w:placeholder>
            <w:docPart w:val="934F9DC2FE5A4E5FAB8EA19F087A660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836ED" w:rsidRDefault="00F836E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Business Case</w:t>
              </w:r>
            </w:p>
          </w:tc>
        </w:sdtContent>
      </w:sdt>
      <w:sdt>
        <w:sdtPr>
          <w:rPr>
            <w:rFonts w:asciiTheme="majorHAnsi" w:eastAsiaTheme="majorEastAsia" w:hAnsiTheme="majorHAnsi" w:cstheme="majorBidi"/>
            <w:b/>
            <w:bCs/>
            <w:color w:val="4F81BD" w:themeColor="accent1"/>
            <w:sz w:val="36"/>
            <w:szCs w:val="36"/>
          </w:rPr>
          <w:alias w:val="Year"/>
          <w:id w:val="17700596"/>
          <w:placeholder>
            <w:docPart w:val="8D684503337148F1A99EF90F0B2D5EA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836ED" w:rsidRDefault="00F836E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ITSM</w:t>
              </w:r>
            </w:p>
          </w:tc>
        </w:sdtContent>
      </w:sdt>
    </w:tr>
  </w:tbl>
  <w:p w:rsidR="00AE4C74" w:rsidRDefault="00AE4C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881"/>
      <w:gridCol w:w="1406"/>
    </w:tblGrid>
    <w:tr w:rsidR="00F836ED">
      <w:trPr>
        <w:trHeight w:val="288"/>
      </w:trPr>
      <w:sdt>
        <w:sdtPr>
          <w:rPr>
            <w:rFonts w:asciiTheme="majorHAnsi" w:eastAsiaTheme="majorEastAsia" w:hAnsiTheme="majorHAnsi" w:cstheme="majorBidi"/>
            <w:sz w:val="36"/>
            <w:szCs w:val="36"/>
          </w:rPr>
          <w:alias w:val="Title"/>
          <w:id w:val="77761602"/>
          <w:placeholder>
            <w:docPart w:val="6632E903629543C48E0E4B315261102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836ED" w:rsidRDefault="00F836ED" w:rsidP="00F836E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Business Case</w:t>
              </w:r>
            </w:p>
          </w:tc>
        </w:sdtContent>
      </w:sdt>
      <w:sdt>
        <w:sdtPr>
          <w:rPr>
            <w:rFonts w:asciiTheme="majorHAnsi" w:eastAsiaTheme="majorEastAsia" w:hAnsiTheme="majorHAnsi" w:cstheme="majorBidi"/>
            <w:b/>
            <w:bCs/>
            <w:color w:val="4F81BD" w:themeColor="accent1"/>
            <w:sz w:val="36"/>
            <w:szCs w:val="36"/>
          </w:rPr>
          <w:alias w:val="Year"/>
          <w:id w:val="77761609"/>
          <w:placeholder>
            <w:docPart w:val="154957A5698544178FE669EED04E43E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836ED" w:rsidRDefault="00F836ED" w:rsidP="00F836E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ITSM</w:t>
              </w:r>
            </w:p>
          </w:tc>
        </w:sdtContent>
      </w:sdt>
    </w:tr>
  </w:tbl>
  <w:p w:rsidR="00892835" w:rsidRDefault="00892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FCE"/>
    <w:multiLevelType w:val="hybridMultilevel"/>
    <w:tmpl w:val="F304AB3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3E7828"/>
    <w:multiLevelType w:val="hybridMultilevel"/>
    <w:tmpl w:val="9198D9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022B0A"/>
    <w:multiLevelType w:val="hybridMultilevel"/>
    <w:tmpl w:val="157A29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C411862"/>
    <w:multiLevelType w:val="hybridMultilevel"/>
    <w:tmpl w:val="5AEECB1E"/>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E66ACD"/>
    <w:multiLevelType w:val="hybridMultilevel"/>
    <w:tmpl w:val="5BE26AB6"/>
    <w:lvl w:ilvl="0" w:tplc="2B466F3E">
      <w:start w:val="1"/>
      <w:numFmt w:val="decimal"/>
      <w:lvlText w:val="%1."/>
      <w:lvlJc w:val="left"/>
      <w:pPr>
        <w:ind w:left="360" w:hanging="360"/>
      </w:pPr>
      <w:rPr>
        <w:rFonts w:ascii="Calibri" w:hAnsi="Calibri" w:hint="default"/>
        <w:b w:val="0"/>
        <w:i w:val="0"/>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14067C1"/>
    <w:multiLevelType w:val="hybridMultilevel"/>
    <w:tmpl w:val="2FA2BB2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9124CC"/>
    <w:multiLevelType w:val="hybridMultilevel"/>
    <w:tmpl w:val="DE24B6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90E702A"/>
    <w:multiLevelType w:val="hybridMultilevel"/>
    <w:tmpl w:val="77766DD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B153157"/>
    <w:multiLevelType w:val="hybridMultilevel"/>
    <w:tmpl w:val="1A3A79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40E5EB6"/>
    <w:multiLevelType w:val="hybridMultilevel"/>
    <w:tmpl w:val="7736B2E6"/>
    <w:lvl w:ilvl="0" w:tplc="A680211C">
      <w:start w:val="1"/>
      <w:numFmt w:val="bullet"/>
      <w:lvlText w:val="•"/>
      <w:lvlJc w:val="left"/>
      <w:pPr>
        <w:tabs>
          <w:tab w:val="num" w:pos="720"/>
        </w:tabs>
        <w:ind w:left="720" w:hanging="360"/>
      </w:pPr>
      <w:rPr>
        <w:rFonts w:ascii="Arial" w:hAnsi="Arial" w:hint="default"/>
      </w:rPr>
    </w:lvl>
    <w:lvl w:ilvl="1" w:tplc="79007526" w:tentative="1">
      <w:start w:val="1"/>
      <w:numFmt w:val="bullet"/>
      <w:lvlText w:val="•"/>
      <w:lvlJc w:val="left"/>
      <w:pPr>
        <w:tabs>
          <w:tab w:val="num" w:pos="1440"/>
        </w:tabs>
        <w:ind w:left="1440" w:hanging="360"/>
      </w:pPr>
      <w:rPr>
        <w:rFonts w:ascii="Arial" w:hAnsi="Arial" w:hint="default"/>
      </w:rPr>
    </w:lvl>
    <w:lvl w:ilvl="2" w:tplc="D6E8FDC8" w:tentative="1">
      <w:start w:val="1"/>
      <w:numFmt w:val="bullet"/>
      <w:lvlText w:val="•"/>
      <w:lvlJc w:val="left"/>
      <w:pPr>
        <w:tabs>
          <w:tab w:val="num" w:pos="2160"/>
        </w:tabs>
        <w:ind w:left="2160" w:hanging="360"/>
      </w:pPr>
      <w:rPr>
        <w:rFonts w:ascii="Arial" w:hAnsi="Arial" w:hint="default"/>
      </w:rPr>
    </w:lvl>
    <w:lvl w:ilvl="3" w:tplc="84202848" w:tentative="1">
      <w:start w:val="1"/>
      <w:numFmt w:val="bullet"/>
      <w:lvlText w:val="•"/>
      <w:lvlJc w:val="left"/>
      <w:pPr>
        <w:tabs>
          <w:tab w:val="num" w:pos="2880"/>
        </w:tabs>
        <w:ind w:left="2880" w:hanging="360"/>
      </w:pPr>
      <w:rPr>
        <w:rFonts w:ascii="Arial" w:hAnsi="Arial" w:hint="default"/>
      </w:rPr>
    </w:lvl>
    <w:lvl w:ilvl="4" w:tplc="97341E0A" w:tentative="1">
      <w:start w:val="1"/>
      <w:numFmt w:val="bullet"/>
      <w:lvlText w:val="•"/>
      <w:lvlJc w:val="left"/>
      <w:pPr>
        <w:tabs>
          <w:tab w:val="num" w:pos="3600"/>
        </w:tabs>
        <w:ind w:left="3600" w:hanging="360"/>
      </w:pPr>
      <w:rPr>
        <w:rFonts w:ascii="Arial" w:hAnsi="Arial" w:hint="default"/>
      </w:rPr>
    </w:lvl>
    <w:lvl w:ilvl="5" w:tplc="BC2EDF22" w:tentative="1">
      <w:start w:val="1"/>
      <w:numFmt w:val="bullet"/>
      <w:lvlText w:val="•"/>
      <w:lvlJc w:val="left"/>
      <w:pPr>
        <w:tabs>
          <w:tab w:val="num" w:pos="4320"/>
        </w:tabs>
        <w:ind w:left="4320" w:hanging="360"/>
      </w:pPr>
      <w:rPr>
        <w:rFonts w:ascii="Arial" w:hAnsi="Arial" w:hint="default"/>
      </w:rPr>
    </w:lvl>
    <w:lvl w:ilvl="6" w:tplc="D598D804" w:tentative="1">
      <w:start w:val="1"/>
      <w:numFmt w:val="bullet"/>
      <w:lvlText w:val="•"/>
      <w:lvlJc w:val="left"/>
      <w:pPr>
        <w:tabs>
          <w:tab w:val="num" w:pos="5040"/>
        </w:tabs>
        <w:ind w:left="5040" w:hanging="360"/>
      </w:pPr>
      <w:rPr>
        <w:rFonts w:ascii="Arial" w:hAnsi="Arial" w:hint="default"/>
      </w:rPr>
    </w:lvl>
    <w:lvl w:ilvl="7" w:tplc="957EAE4E" w:tentative="1">
      <w:start w:val="1"/>
      <w:numFmt w:val="bullet"/>
      <w:lvlText w:val="•"/>
      <w:lvlJc w:val="left"/>
      <w:pPr>
        <w:tabs>
          <w:tab w:val="num" w:pos="5760"/>
        </w:tabs>
        <w:ind w:left="5760" w:hanging="360"/>
      </w:pPr>
      <w:rPr>
        <w:rFonts w:ascii="Arial" w:hAnsi="Arial" w:hint="default"/>
      </w:rPr>
    </w:lvl>
    <w:lvl w:ilvl="8" w:tplc="8B12C2D0" w:tentative="1">
      <w:start w:val="1"/>
      <w:numFmt w:val="bullet"/>
      <w:lvlText w:val="•"/>
      <w:lvlJc w:val="left"/>
      <w:pPr>
        <w:tabs>
          <w:tab w:val="num" w:pos="6480"/>
        </w:tabs>
        <w:ind w:left="6480" w:hanging="360"/>
      </w:pPr>
      <w:rPr>
        <w:rFonts w:ascii="Arial" w:hAnsi="Arial" w:hint="default"/>
      </w:rPr>
    </w:lvl>
  </w:abstractNum>
  <w:abstractNum w:abstractNumId="10">
    <w:nsid w:val="573C634F"/>
    <w:multiLevelType w:val="hybridMultilevel"/>
    <w:tmpl w:val="D28020F0"/>
    <w:lvl w:ilvl="0" w:tplc="2952B7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D7259C"/>
    <w:multiLevelType w:val="hybridMultilevel"/>
    <w:tmpl w:val="F22AD224"/>
    <w:lvl w:ilvl="0" w:tplc="2B466F3E">
      <w:start w:val="1"/>
      <w:numFmt w:val="decimal"/>
      <w:lvlText w:val="%1."/>
      <w:lvlJc w:val="left"/>
      <w:pPr>
        <w:ind w:left="360" w:hanging="360"/>
      </w:pPr>
      <w:rPr>
        <w:rFonts w:ascii="Calibri" w:hAnsi="Calibri"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6F973584"/>
    <w:multiLevelType w:val="hybridMultilevel"/>
    <w:tmpl w:val="FEE09982"/>
    <w:lvl w:ilvl="0" w:tplc="B5ECA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94122E"/>
    <w:multiLevelType w:val="multilevel"/>
    <w:tmpl w:val="B96E68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7"/>
  </w:num>
  <w:num w:numId="3">
    <w:abstractNumId w:val="13"/>
  </w:num>
  <w:num w:numId="4">
    <w:abstractNumId w:val="9"/>
  </w:num>
  <w:num w:numId="5">
    <w:abstractNumId w:val="2"/>
  </w:num>
  <w:num w:numId="6">
    <w:abstractNumId w:val="8"/>
  </w:num>
  <w:num w:numId="7">
    <w:abstractNumId w:val="6"/>
  </w:num>
  <w:num w:numId="8">
    <w:abstractNumId w:val="4"/>
  </w:num>
  <w:num w:numId="9">
    <w:abstractNumId w:val="11"/>
  </w:num>
  <w:num w:numId="10">
    <w:abstractNumId w:val="5"/>
  </w:num>
  <w:num w:numId="11">
    <w:abstractNumId w:val="3"/>
  </w:num>
  <w:num w:numId="12">
    <w:abstractNumId w:val="0"/>
  </w:num>
  <w:num w:numId="13">
    <w:abstractNumId w:val="1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A6609"/>
    <w:rsid w:val="0001457B"/>
    <w:rsid w:val="0002579A"/>
    <w:rsid w:val="00062655"/>
    <w:rsid w:val="0006603D"/>
    <w:rsid w:val="00090374"/>
    <w:rsid w:val="000A0364"/>
    <w:rsid w:val="000B1D3B"/>
    <w:rsid w:val="000B5C56"/>
    <w:rsid w:val="000B78C4"/>
    <w:rsid w:val="000C1DCC"/>
    <w:rsid w:val="000F7450"/>
    <w:rsid w:val="0010127E"/>
    <w:rsid w:val="001129CF"/>
    <w:rsid w:val="00116758"/>
    <w:rsid w:val="001200EE"/>
    <w:rsid w:val="00172D70"/>
    <w:rsid w:val="00180BBD"/>
    <w:rsid w:val="001B3E7F"/>
    <w:rsid w:val="001B4739"/>
    <w:rsid w:val="001C1AE1"/>
    <w:rsid w:val="001C5F5B"/>
    <w:rsid w:val="001D54DC"/>
    <w:rsid w:val="001D5929"/>
    <w:rsid w:val="001D6434"/>
    <w:rsid w:val="001D70C7"/>
    <w:rsid w:val="001E0372"/>
    <w:rsid w:val="00237098"/>
    <w:rsid w:val="00241256"/>
    <w:rsid w:val="00243FDF"/>
    <w:rsid w:val="00253D92"/>
    <w:rsid w:val="00256885"/>
    <w:rsid w:val="00262E12"/>
    <w:rsid w:val="0026717F"/>
    <w:rsid w:val="00282958"/>
    <w:rsid w:val="002A6609"/>
    <w:rsid w:val="002B0B56"/>
    <w:rsid w:val="002C0095"/>
    <w:rsid w:val="002D2C04"/>
    <w:rsid w:val="002F5596"/>
    <w:rsid w:val="0030223C"/>
    <w:rsid w:val="00303EA0"/>
    <w:rsid w:val="003070DF"/>
    <w:rsid w:val="00314CC8"/>
    <w:rsid w:val="00325CE8"/>
    <w:rsid w:val="00332161"/>
    <w:rsid w:val="0037620F"/>
    <w:rsid w:val="003814DB"/>
    <w:rsid w:val="00387EC1"/>
    <w:rsid w:val="00390C40"/>
    <w:rsid w:val="00394299"/>
    <w:rsid w:val="003971DC"/>
    <w:rsid w:val="003B6408"/>
    <w:rsid w:val="0041596E"/>
    <w:rsid w:val="004263B6"/>
    <w:rsid w:val="00441FFF"/>
    <w:rsid w:val="00450C91"/>
    <w:rsid w:val="00460A15"/>
    <w:rsid w:val="00461AA7"/>
    <w:rsid w:val="00471EB3"/>
    <w:rsid w:val="00475FBA"/>
    <w:rsid w:val="0048477F"/>
    <w:rsid w:val="004B5355"/>
    <w:rsid w:val="004E4573"/>
    <w:rsid w:val="00520D02"/>
    <w:rsid w:val="005536FE"/>
    <w:rsid w:val="00583C27"/>
    <w:rsid w:val="00583DCA"/>
    <w:rsid w:val="00584030"/>
    <w:rsid w:val="00584D0B"/>
    <w:rsid w:val="00591662"/>
    <w:rsid w:val="005B64E6"/>
    <w:rsid w:val="005B6C90"/>
    <w:rsid w:val="005E5C8D"/>
    <w:rsid w:val="006145CA"/>
    <w:rsid w:val="006170D7"/>
    <w:rsid w:val="00635F40"/>
    <w:rsid w:val="00684456"/>
    <w:rsid w:val="006D26E5"/>
    <w:rsid w:val="006D6826"/>
    <w:rsid w:val="006D761D"/>
    <w:rsid w:val="006E2FD0"/>
    <w:rsid w:val="006F6A1D"/>
    <w:rsid w:val="00716EC3"/>
    <w:rsid w:val="007214C9"/>
    <w:rsid w:val="0073755A"/>
    <w:rsid w:val="00761393"/>
    <w:rsid w:val="00794967"/>
    <w:rsid w:val="00797458"/>
    <w:rsid w:val="007A2B8E"/>
    <w:rsid w:val="007B6A63"/>
    <w:rsid w:val="007C0CAE"/>
    <w:rsid w:val="00802E5A"/>
    <w:rsid w:val="0080546C"/>
    <w:rsid w:val="008066A2"/>
    <w:rsid w:val="00810554"/>
    <w:rsid w:val="00811C21"/>
    <w:rsid w:val="0083004A"/>
    <w:rsid w:val="0083061E"/>
    <w:rsid w:val="0083588B"/>
    <w:rsid w:val="00850BE3"/>
    <w:rsid w:val="0085209E"/>
    <w:rsid w:val="00863636"/>
    <w:rsid w:val="008649DB"/>
    <w:rsid w:val="00871B8C"/>
    <w:rsid w:val="008745C5"/>
    <w:rsid w:val="008813D1"/>
    <w:rsid w:val="008839E9"/>
    <w:rsid w:val="00886DD1"/>
    <w:rsid w:val="00892835"/>
    <w:rsid w:val="00896EBC"/>
    <w:rsid w:val="008A61D1"/>
    <w:rsid w:val="008B1FFA"/>
    <w:rsid w:val="008E4E5A"/>
    <w:rsid w:val="0091086F"/>
    <w:rsid w:val="009163B8"/>
    <w:rsid w:val="0094025E"/>
    <w:rsid w:val="00952F9F"/>
    <w:rsid w:val="00953844"/>
    <w:rsid w:val="00954494"/>
    <w:rsid w:val="009726A5"/>
    <w:rsid w:val="00984D87"/>
    <w:rsid w:val="00997861"/>
    <w:rsid w:val="009A0CE7"/>
    <w:rsid w:val="009B2F68"/>
    <w:rsid w:val="009B38EC"/>
    <w:rsid w:val="009C2007"/>
    <w:rsid w:val="009C73D0"/>
    <w:rsid w:val="00A45FFF"/>
    <w:rsid w:val="00A52CD0"/>
    <w:rsid w:val="00A576A0"/>
    <w:rsid w:val="00A6389B"/>
    <w:rsid w:val="00A94BEE"/>
    <w:rsid w:val="00AE4C74"/>
    <w:rsid w:val="00AE5850"/>
    <w:rsid w:val="00AF3719"/>
    <w:rsid w:val="00AF4AA4"/>
    <w:rsid w:val="00B34509"/>
    <w:rsid w:val="00B361CF"/>
    <w:rsid w:val="00B40CBA"/>
    <w:rsid w:val="00B6438F"/>
    <w:rsid w:val="00B71AB0"/>
    <w:rsid w:val="00B85275"/>
    <w:rsid w:val="00B87EA0"/>
    <w:rsid w:val="00B90D2A"/>
    <w:rsid w:val="00BB74FE"/>
    <w:rsid w:val="00BC1D42"/>
    <w:rsid w:val="00BE224E"/>
    <w:rsid w:val="00BF7CC7"/>
    <w:rsid w:val="00C004E6"/>
    <w:rsid w:val="00C06E09"/>
    <w:rsid w:val="00C277F6"/>
    <w:rsid w:val="00C36280"/>
    <w:rsid w:val="00C559F0"/>
    <w:rsid w:val="00C57273"/>
    <w:rsid w:val="00C60982"/>
    <w:rsid w:val="00C62D1D"/>
    <w:rsid w:val="00C7094C"/>
    <w:rsid w:val="00C92B41"/>
    <w:rsid w:val="00CB1601"/>
    <w:rsid w:val="00CB1758"/>
    <w:rsid w:val="00CB3950"/>
    <w:rsid w:val="00CE3E24"/>
    <w:rsid w:val="00CF475A"/>
    <w:rsid w:val="00D044BB"/>
    <w:rsid w:val="00D20B52"/>
    <w:rsid w:val="00D21159"/>
    <w:rsid w:val="00D22DB9"/>
    <w:rsid w:val="00D41783"/>
    <w:rsid w:val="00D423B4"/>
    <w:rsid w:val="00D4498E"/>
    <w:rsid w:val="00D54224"/>
    <w:rsid w:val="00D73EAE"/>
    <w:rsid w:val="00D82880"/>
    <w:rsid w:val="00D84954"/>
    <w:rsid w:val="00D95BBF"/>
    <w:rsid w:val="00D966F7"/>
    <w:rsid w:val="00DA17DF"/>
    <w:rsid w:val="00DB00D8"/>
    <w:rsid w:val="00DB067C"/>
    <w:rsid w:val="00DB0F35"/>
    <w:rsid w:val="00DB436C"/>
    <w:rsid w:val="00DB6D86"/>
    <w:rsid w:val="00DC030A"/>
    <w:rsid w:val="00DC047A"/>
    <w:rsid w:val="00DC04D3"/>
    <w:rsid w:val="00DC2953"/>
    <w:rsid w:val="00DC7155"/>
    <w:rsid w:val="00DF432A"/>
    <w:rsid w:val="00DF6DDE"/>
    <w:rsid w:val="00E000F1"/>
    <w:rsid w:val="00E1680B"/>
    <w:rsid w:val="00E4604A"/>
    <w:rsid w:val="00E57151"/>
    <w:rsid w:val="00E707F3"/>
    <w:rsid w:val="00E73C8D"/>
    <w:rsid w:val="00E816E4"/>
    <w:rsid w:val="00E85234"/>
    <w:rsid w:val="00E928AF"/>
    <w:rsid w:val="00EA7CC1"/>
    <w:rsid w:val="00EC3B78"/>
    <w:rsid w:val="00EC72FE"/>
    <w:rsid w:val="00ED53D7"/>
    <w:rsid w:val="00ED77B9"/>
    <w:rsid w:val="00F35629"/>
    <w:rsid w:val="00F35837"/>
    <w:rsid w:val="00F45E1C"/>
    <w:rsid w:val="00F53F2D"/>
    <w:rsid w:val="00F5464B"/>
    <w:rsid w:val="00F5555F"/>
    <w:rsid w:val="00F63679"/>
    <w:rsid w:val="00F74D36"/>
    <w:rsid w:val="00F80C28"/>
    <w:rsid w:val="00F836ED"/>
    <w:rsid w:val="00F92D04"/>
    <w:rsid w:val="00FC2CE0"/>
    <w:rsid w:val="00FE316E"/>
    <w:rsid w:val="00FE66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09"/>
    <w:rPr>
      <w:rFonts w:ascii="Calibri" w:eastAsia="Calibri" w:hAnsi="Calibri" w:cs="Times New Roman"/>
    </w:rPr>
  </w:style>
  <w:style w:type="paragraph" w:styleId="Heading1">
    <w:name w:val="heading 1"/>
    <w:basedOn w:val="Normal"/>
    <w:next w:val="Normal"/>
    <w:link w:val="Heading1Char"/>
    <w:uiPriority w:val="9"/>
    <w:qFormat/>
    <w:rsid w:val="00C06E09"/>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06E09"/>
    <w:pPr>
      <w:keepNext/>
      <w:keepLines/>
      <w:numPr>
        <w:ilvl w:val="1"/>
        <w:numId w:val="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06E09"/>
    <w:pPr>
      <w:keepNext/>
      <w:numPr>
        <w:ilvl w:val="2"/>
        <w:numId w:val="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rsid w:val="00C06E0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06E09"/>
    <w:pPr>
      <w:keepNext/>
      <w:keepLines/>
      <w:numPr>
        <w:ilvl w:val="4"/>
        <w:numId w:val="3"/>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C06E09"/>
    <w:pPr>
      <w:keepNext/>
      <w:keepLines/>
      <w:numPr>
        <w:ilvl w:val="5"/>
        <w:numId w:val="3"/>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C06E0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06E09"/>
    <w:pPr>
      <w:keepNext/>
      <w:keepLines/>
      <w:numPr>
        <w:ilvl w:val="7"/>
        <w:numId w:val="3"/>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C06E09"/>
    <w:pPr>
      <w:keepNext/>
      <w:keepLines/>
      <w:numPr>
        <w:ilvl w:val="8"/>
        <w:numId w:val="3"/>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0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06E0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06E09"/>
    <w:rPr>
      <w:rFonts w:ascii="Cambria" w:eastAsia="Times New Roman" w:hAnsi="Cambria" w:cs="Times New Roman"/>
      <w:b/>
      <w:bCs/>
      <w:sz w:val="26"/>
      <w:szCs w:val="26"/>
    </w:rPr>
  </w:style>
  <w:style w:type="character" w:customStyle="1" w:styleId="Heading4Char">
    <w:name w:val="Heading 4 Char"/>
    <w:basedOn w:val="DefaultParagraphFont"/>
    <w:link w:val="Heading4"/>
    <w:rsid w:val="00C06E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6E09"/>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C06E09"/>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C06E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6E0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C06E09"/>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iPriority w:val="99"/>
    <w:unhideWhenUsed/>
    <w:rsid w:val="0083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4A"/>
  </w:style>
  <w:style w:type="paragraph" w:styleId="Footer">
    <w:name w:val="footer"/>
    <w:basedOn w:val="Normal"/>
    <w:link w:val="FooterChar"/>
    <w:uiPriority w:val="99"/>
    <w:unhideWhenUsed/>
    <w:rsid w:val="0083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4A"/>
  </w:style>
  <w:style w:type="paragraph" w:styleId="BalloonText">
    <w:name w:val="Balloon Text"/>
    <w:basedOn w:val="Normal"/>
    <w:link w:val="BalloonTextChar"/>
    <w:uiPriority w:val="99"/>
    <w:semiHidden/>
    <w:unhideWhenUsed/>
    <w:rsid w:val="0083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4A"/>
    <w:rPr>
      <w:rFonts w:ascii="Tahoma" w:hAnsi="Tahoma" w:cs="Tahoma"/>
      <w:sz w:val="16"/>
      <w:szCs w:val="16"/>
    </w:rPr>
  </w:style>
  <w:style w:type="paragraph" w:styleId="ListParagraph">
    <w:name w:val="List Paragraph"/>
    <w:basedOn w:val="Normal"/>
    <w:uiPriority w:val="34"/>
    <w:qFormat/>
    <w:rsid w:val="00C06E09"/>
    <w:pPr>
      <w:ind w:left="720"/>
      <w:contextualSpacing/>
    </w:pPr>
  </w:style>
  <w:style w:type="character" w:styleId="CommentReference">
    <w:name w:val="annotation reference"/>
    <w:basedOn w:val="DefaultParagraphFont"/>
    <w:uiPriority w:val="99"/>
    <w:semiHidden/>
    <w:unhideWhenUsed/>
    <w:rsid w:val="00C06E09"/>
    <w:rPr>
      <w:sz w:val="18"/>
      <w:szCs w:val="18"/>
    </w:rPr>
  </w:style>
  <w:style w:type="paragraph" w:styleId="CommentText">
    <w:name w:val="annotation text"/>
    <w:basedOn w:val="Normal"/>
    <w:link w:val="CommentTextChar"/>
    <w:uiPriority w:val="99"/>
    <w:semiHidden/>
    <w:unhideWhenUsed/>
    <w:rsid w:val="00C06E09"/>
    <w:rPr>
      <w:sz w:val="24"/>
      <w:szCs w:val="24"/>
    </w:rPr>
  </w:style>
  <w:style w:type="character" w:customStyle="1" w:styleId="CommentTextChar">
    <w:name w:val="Comment Text Char"/>
    <w:basedOn w:val="DefaultParagraphFont"/>
    <w:link w:val="CommentText"/>
    <w:uiPriority w:val="99"/>
    <w:semiHidden/>
    <w:rsid w:val="00C06E09"/>
    <w:rPr>
      <w:rFonts w:ascii="Calibri" w:eastAsia="Calibri" w:hAnsi="Calibri" w:cs="Times New Roman"/>
      <w:sz w:val="24"/>
      <w:szCs w:val="24"/>
    </w:rPr>
  </w:style>
  <w:style w:type="character" w:customStyle="1" w:styleId="CommentSubjectChar">
    <w:name w:val="Comment Subject Char"/>
    <w:basedOn w:val="CommentTextChar"/>
    <w:link w:val="CommentSubject"/>
    <w:uiPriority w:val="99"/>
    <w:semiHidden/>
    <w:rsid w:val="00C06E09"/>
    <w:rPr>
      <w:b/>
      <w:bCs/>
      <w:sz w:val="20"/>
      <w:szCs w:val="20"/>
    </w:rPr>
  </w:style>
  <w:style w:type="paragraph" w:styleId="CommentSubject">
    <w:name w:val="annotation subject"/>
    <w:basedOn w:val="CommentText"/>
    <w:next w:val="CommentText"/>
    <w:link w:val="CommentSubjectChar"/>
    <w:uiPriority w:val="99"/>
    <w:semiHidden/>
    <w:unhideWhenUsed/>
    <w:rsid w:val="00C06E09"/>
    <w:rPr>
      <w:b/>
      <w:bCs/>
      <w:sz w:val="20"/>
      <w:szCs w:val="20"/>
    </w:rPr>
  </w:style>
  <w:style w:type="paragraph" w:styleId="TOC1">
    <w:name w:val="toc 1"/>
    <w:basedOn w:val="Normal"/>
    <w:next w:val="Normal"/>
    <w:autoRedefine/>
    <w:uiPriority w:val="39"/>
    <w:unhideWhenUsed/>
    <w:rsid w:val="00C06E09"/>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C06E09"/>
    <w:pPr>
      <w:spacing w:after="0"/>
      <w:ind w:left="220"/>
    </w:pPr>
    <w:rPr>
      <w:rFonts w:asciiTheme="minorHAnsi" w:hAnsiTheme="minorHAnsi"/>
      <w:b/>
    </w:rPr>
  </w:style>
  <w:style w:type="paragraph" w:styleId="TOC3">
    <w:name w:val="toc 3"/>
    <w:basedOn w:val="Normal"/>
    <w:next w:val="Normal"/>
    <w:autoRedefine/>
    <w:uiPriority w:val="39"/>
    <w:unhideWhenUsed/>
    <w:rsid w:val="00C06E09"/>
    <w:pPr>
      <w:spacing w:after="0"/>
      <w:ind w:left="440"/>
    </w:pPr>
    <w:rPr>
      <w:rFonts w:asciiTheme="minorHAnsi" w:hAnsiTheme="minorHAnsi"/>
    </w:rPr>
  </w:style>
  <w:style w:type="paragraph" w:styleId="TOC6">
    <w:name w:val="toc 6"/>
    <w:basedOn w:val="Normal"/>
    <w:next w:val="Normal"/>
    <w:autoRedefine/>
    <w:uiPriority w:val="39"/>
    <w:semiHidden/>
    <w:unhideWhenUsed/>
    <w:rsid w:val="00C06E09"/>
    <w:pPr>
      <w:spacing w:after="0"/>
      <w:ind w:left="1100"/>
    </w:pPr>
    <w:rPr>
      <w:rFonts w:asciiTheme="minorHAnsi" w:hAnsiTheme="minorHAnsi"/>
      <w:sz w:val="20"/>
      <w:szCs w:val="20"/>
    </w:rPr>
  </w:style>
  <w:style w:type="character" w:styleId="Hyperlink">
    <w:name w:val="Hyperlink"/>
    <w:basedOn w:val="DefaultParagraphFont"/>
    <w:rsid w:val="00C06E09"/>
    <w:rPr>
      <w:color w:val="0000FF" w:themeColor="hyperlink"/>
      <w:u w:val="single"/>
    </w:rPr>
  </w:style>
  <w:style w:type="paragraph" w:styleId="TOC4">
    <w:name w:val="toc 4"/>
    <w:basedOn w:val="Normal"/>
    <w:next w:val="Normal"/>
    <w:autoRedefine/>
    <w:uiPriority w:val="39"/>
    <w:semiHidden/>
    <w:unhideWhenUsed/>
    <w:rsid w:val="00241256"/>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semiHidden/>
    <w:unhideWhenUsed/>
    <w:rsid w:val="00241256"/>
    <w:pPr>
      <w:spacing w:after="100" w:line="240" w:lineRule="auto"/>
      <w:ind w:left="960"/>
    </w:pPr>
    <w:rPr>
      <w:rFonts w:asciiTheme="minorHAnsi" w:eastAsiaTheme="minorEastAsia" w:hAnsiTheme="minorHAnsi" w:cstheme="minorBidi"/>
      <w:sz w:val="24"/>
      <w:szCs w:val="24"/>
    </w:rPr>
  </w:style>
  <w:style w:type="paragraph" w:styleId="TOC7">
    <w:name w:val="toc 7"/>
    <w:basedOn w:val="Normal"/>
    <w:next w:val="Normal"/>
    <w:autoRedefine/>
    <w:uiPriority w:val="39"/>
    <w:semiHidden/>
    <w:unhideWhenUsed/>
    <w:rsid w:val="00241256"/>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semiHidden/>
    <w:unhideWhenUsed/>
    <w:rsid w:val="00241256"/>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semiHidden/>
    <w:unhideWhenUsed/>
    <w:rsid w:val="00241256"/>
    <w:pPr>
      <w:spacing w:after="100" w:line="240" w:lineRule="auto"/>
      <w:ind w:left="1920"/>
    </w:pPr>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797458"/>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Emphasis">
    <w:name w:val="Emphasis"/>
    <w:basedOn w:val="DefaultParagraphFont"/>
    <w:uiPriority w:val="20"/>
    <w:qFormat/>
    <w:rsid w:val="00C57273"/>
    <w:rPr>
      <w:i/>
      <w:iCs/>
    </w:rPr>
  </w:style>
  <w:style w:type="paragraph" w:customStyle="1" w:styleId="Body">
    <w:name w:val="Body"/>
    <w:basedOn w:val="Normal"/>
    <w:link w:val="BodyChar"/>
    <w:qFormat/>
    <w:rsid w:val="00394299"/>
    <w:pPr>
      <w:ind w:left="720"/>
    </w:pPr>
    <w:rPr>
      <w:snapToGrid w:val="0"/>
      <w:lang w:val="en-CA"/>
    </w:rPr>
  </w:style>
  <w:style w:type="character" w:customStyle="1" w:styleId="BodyChar">
    <w:name w:val="Body Char"/>
    <w:basedOn w:val="DefaultParagraphFont"/>
    <w:link w:val="Body"/>
    <w:rsid w:val="00394299"/>
    <w:rPr>
      <w:rFonts w:ascii="Calibri" w:eastAsia="Calibri" w:hAnsi="Calibri" w:cs="Times New Roman"/>
      <w:snapToGrid w:val="0"/>
      <w:lang w:val="en-CA"/>
    </w:rPr>
  </w:style>
  <w:style w:type="table" w:styleId="TableGrid">
    <w:name w:val="Table Grid"/>
    <w:basedOn w:val="TableNormal"/>
    <w:uiPriority w:val="59"/>
    <w:rsid w:val="00394299"/>
    <w:pPr>
      <w:spacing w:after="0" w:line="240" w:lineRule="auto"/>
    </w:pPr>
    <w:rPr>
      <w:rFonts w:ascii="Calibri" w:eastAsia="Calibri" w:hAnsi="Calibri" w:cs="Times New Roman"/>
      <w:sz w:val="24"/>
      <w:szCs w:val="24"/>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5B64E6"/>
    <w:rPr>
      <w:i/>
      <w:iCs/>
      <w:color w:val="808080" w:themeColor="text1" w:themeTint="7F"/>
    </w:rPr>
  </w:style>
  <w:style w:type="character" w:styleId="SubtleReference">
    <w:name w:val="Subtle Reference"/>
    <w:basedOn w:val="DefaultParagraphFont"/>
    <w:uiPriority w:val="31"/>
    <w:qFormat/>
    <w:rsid w:val="005B64E6"/>
    <w:rPr>
      <w:smallCaps/>
      <w:color w:val="C0504D" w:themeColor="accent2"/>
      <w:u w:val="single"/>
    </w:rPr>
  </w:style>
  <w:style w:type="paragraph" w:styleId="Subtitle">
    <w:name w:val="Subtitle"/>
    <w:basedOn w:val="Normal"/>
    <w:next w:val="Normal"/>
    <w:link w:val="SubtitleChar"/>
    <w:uiPriority w:val="11"/>
    <w:qFormat/>
    <w:rsid w:val="00AF4A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AA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F4AA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8043725">
      <w:bodyDiv w:val="1"/>
      <w:marLeft w:val="0"/>
      <w:marRight w:val="0"/>
      <w:marTop w:val="0"/>
      <w:marBottom w:val="0"/>
      <w:divBdr>
        <w:top w:val="none" w:sz="0" w:space="0" w:color="auto"/>
        <w:left w:val="none" w:sz="0" w:space="0" w:color="auto"/>
        <w:bottom w:val="none" w:sz="0" w:space="0" w:color="auto"/>
        <w:right w:val="none" w:sz="0" w:space="0" w:color="auto"/>
      </w:divBdr>
      <w:divsChild>
        <w:div w:id="3024424">
          <w:marLeft w:val="547"/>
          <w:marRight w:val="0"/>
          <w:marTop w:val="0"/>
          <w:marBottom w:val="0"/>
          <w:divBdr>
            <w:top w:val="none" w:sz="0" w:space="0" w:color="auto"/>
            <w:left w:val="none" w:sz="0" w:space="0" w:color="auto"/>
            <w:bottom w:val="none" w:sz="0" w:space="0" w:color="auto"/>
            <w:right w:val="none" w:sz="0" w:space="0" w:color="auto"/>
          </w:divBdr>
        </w:div>
        <w:div w:id="1902715406">
          <w:marLeft w:val="547"/>
          <w:marRight w:val="0"/>
          <w:marTop w:val="0"/>
          <w:marBottom w:val="0"/>
          <w:divBdr>
            <w:top w:val="none" w:sz="0" w:space="0" w:color="auto"/>
            <w:left w:val="none" w:sz="0" w:space="0" w:color="auto"/>
            <w:bottom w:val="none" w:sz="0" w:space="0" w:color="auto"/>
            <w:right w:val="none" w:sz="0" w:space="0" w:color="auto"/>
          </w:divBdr>
        </w:div>
      </w:divsChild>
    </w:div>
    <w:div w:id="501161513">
      <w:bodyDiv w:val="1"/>
      <w:marLeft w:val="0"/>
      <w:marRight w:val="0"/>
      <w:marTop w:val="0"/>
      <w:marBottom w:val="0"/>
      <w:divBdr>
        <w:top w:val="none" w:sz="0" w:space="0" w:color="auto"/>
        <w:left w:val="none" w:sz="0" w:space="0" w:color="auto"/>
        <w:bottom w:val="none" w:sz="0" w:space="0" w:color="auto"/>
        <w:right w:val="none" w:sz="0" w:space="0" w:color="auto"/>
      </w:divBdr>
      <w:divsChild>
        <w:div w:id="1260913141">
          <w:marLeft w:val="0"/>
          <w:marRight w:val="0"/>
          <w:marTop w:val="0"/>
          <w:marBottom w:val="0"/>
          <w:divBdr>
            <w:top w:val="none" w:sz="0" w:space="0" w:color="auto"/>
            <w:left w:val="none" w:sz="0" w:space="0" w:color="auto"/>
            <w:bottom w:val="none" w:sz="0" w:space="0" w:color="auto"/>
            <w:right w:val="none" w:sz="0" w:space="0" w:color="auto"/>
          </w:divBdr>
        </w:div>
      </w:divsChild>
    </w:div>
    <w:div w:id="772626132">
      <w:bodyDiv w:val="1"/>
      <w:marLeft w:val="0"/>
      <w:marRight w:val="0"/>
      <w:marTop w:val="0"/>
      <w:marBottom w:val="0"/>
      <w:divBdr>
        <w:top w:val="none" w:sz="0" w:space="0" w:color="auto"/>
        <w:left w:val="none" w:sz="0" w:space="0" w:color="auto"/>
        <w:bottom w:val="none" w:sz="0" w:space="0" w:color="auto"/>
        <w:right w:val="none" w:sz="0" w:space="0" w:color="auto"/>
      </w:divBdr>
      <w:divsChild>
        <w:div w:id="1596085304">
          <w:marLeft w:val="1166"/>
          <w:marRight w:val="0"/>
          <w:marTop w:val="77"/>
          <w:marBottom w:val="0"/>
          <w:divBdr>
            <w:top w:val="none" w:sz="0" w:space="0" w:color="auto"/>
            <w:left w:val="none" w:sz="0" w:space="0" w:color="auto"/>
            <w:bottom w:val="none" w:sz="0" w:space="0" w:color="auto"/>
            <w:right w:val="none" w:sz="0" w:space="0" w:color="auto"/>
          </w:divBdr>
        </w:div>
        <w:div w:id="95247675">
          <w:marLeft w:val="1166"/>
          <w:marRight w:val="0"/>
          <w:marTop w:val="77"/>
          <w:marBottom w:val="0"/>
          <w:divBdr>
            <w:top w:val="none" w:sz="0" w:space="0" w:color="auto"/>
            <w:left w:val="none" w:sz="0" w:space="0" w:color="auto"/>
            <w:bottom w:val="none" w:sz="0" w:space="0" w:color="auto"/>
            <w:right w:val="none" w:sz="0" w:space="0" w:color="auto"/>
          </w:divBdr>
        </w:div>
        <w:div w:id="1439834465">
          <w:marLeft w:val="1166"/>
          <w:marRight w:val="0"/>
          <w:marTop w:val="77"/>
          <w:marBottom w:val="0"/>
          <w:divBdr>
            <w:top w:val="none" w:sz="0" w:space="0" w:color="auto"/>
            <w:left w:val="none" w:sz="0" w:space="0" w:color="auto"/>
            <w:bottom w:val="none" w:sz="0" w:space="0" w:color="auto"/>
            <w:right w:val="none" w:sz="0" w:space="0" w:color="auto"/>
          </w:divBdr>
        </w:div>
        <w:div w:id="510950328">
          <w:marLeft w:val="1166"/>
          <w:marRight w:val="0"/>
          <w:marTop w:val="77"/>
          <w:marBottom w:val="0"/>
          <w:divBdr>
            <w:top w:val="none" w:sz="0" w:space="0" w:color="auto"/>
            <w:left w:val="none" w:sz="0" w:space="0" w:color="auto"/>
            <w:bottom w:val="none" w:sz="0" w:space="0" w:color="auto"/>
            <w:right w:val="none" w:sz="0" w:space="0" w:color="auto"/>
          </w:divBdr>
        </w:div>
        <w:div w:id="1772117077">
          <w:marLeft w:val="1166"/>
          <w:marRight w:val="0"/>
          <w:marTop w:val="77"/>
          <w:marBottom w:val="0"/>
          <w:divBdr>
            <w:top w:val="none" w:sz="0" w:space="0" w:color="auto"/>
            <w:left w:val="none" w:sz="0" w:space="0" w:color="auto"/>
            <w:bottom w:val="none" w:sz="0" w:space="0" w:color="auto"/>
            <w:right w:val="none" w:sz="0" w:space="0" w:color="auto"/>
          </w:divBdr>
        </w:div>
        <w:div w:id="1498500823">
          <w:marLeft w:val="1166"/>
          <w:marRight w:val="0"/>
          <w:marTop w:val="77"/>
          <w:marBottom w:val="0"/>
          <w:divBdr>
            <w:top w:val="none" w:sz="0" w:space="0" w:color="auto"/>
            <w:left w:val="none" w:sz="0" w:space="0" w:color="auto"/>
            <w:bottom w:val="none" w:sz="0" w:space="0" w:color="auto"/>
            <w:right w:val="none" w:sz="0" w:space="0" w:color="auto"/>
          </w:divBdr>
        </w:div>
        <w:div w:id="524906345">
          <w:marLeft w:val="1166"/>
          <w:marRight w:val="0"/>
          <w:marTop w:val="77"/>
          <w:marBottom w:val="0"/>
          <w:divBdr>
            <w:top w:val="none" w:sz="0" w:space="0" w:color="auto"/>
            <w:left w:val="none" w:sz="0" w:space="0" w:color="auto"/>
            <w:bottom w:val="none" w:sz="0" w:space="0" w:color="auto"/>
            <w:right w:val="none" w:sz="0" w:space="0" w:color="auto"/>
          </w:divBdr>
        </w:div>
      </w:divsChild>
    </w:div>
    <w:div w:id="1457721297">
      <w:bodyDiv w:val="1"/>
      <w:marLeft w:val="0"/>
      <w:marRight w:val="0"/>
      <w:marTop w:val="0"/>
      <w:marBottom w:val="0"/>
      <w:divBdr>
        <w:top w:val="none" w:sz="0" w:space="0" w:color="auto"/>
        <w:left w:val="none" w:sz="0" w:space="0" w:color="auto"/>
        <w:bottom w:val="none" w:sz="0" w:space="0" w:color="auto"/>
        <w:right w:val="none" w:sz="0" w:space="0" w:color="auto"/>
      </w:divBdr>
    </w:div>
    <w:div w:id="1481193765">
      <w:bodyDiv w:val="1"/>
      <w:marLeft w:val="0"/>
      <w:marRight w:val="0"/>
      <w:marTop w:val="0"/>
      <w:marBottom w:val="0"/>
      <w:divBdr>
        <w:top w:val="none" w:sz="0" w:space="0" w:color="auto"/>
        <w:left w:val="none" w:sz="0" w:space="0" w:color="auto"/>
        <w:bottom w:val="none" w:sz="0" w:space="0" w:color="auto"/>
        <w:right w:val="none" w:sz="0" w:space="0" w:color="auto"/>
      </w:divBdr>
      <w:divsChild>
        <w:div w:id="253250859">
          <w:marLeft w:val="547"/>
          <w:marRight w:val="0"/>
          <w:marTop w:val="0"/>
          <w:marBottom w:val="0"/>
          <w:divBdr>
            <w:top w:val="none" w:sz="0" w:space="0" w:color="auto"/>
            <w:left w:val="none" w:sz="0" w:space="0" w:color="auto"/>
            <w:bottom w:val="none" w:sz="0" w:space="0" w:color="auto"/>
            <w:right w:val="none" w:sz="0" w:space="0" w:color="auto"/>
          </w:divBdr>
        </w:div>
        <w:div w:id="37359385">
          <w:marLeft w:val="547"/>
          <w:marRight w:val="0"/>
          <w:marTop w:val="0"/>
          <w:marBottom w:val="0"/>
          <w:divBdr>
            <w:top w:val="none" w:sz="0" w:space="0" w:color="auto"/>
            <w:left w:val="none" w:sz="0" w:space="0" w:color="auto"/>
            <w:bottom w:val="none" w:sz="0" w:space="0" w:color="auto"/>
            <w:right w:val="none" w:sz="0" w:space="0" w:color="auto"/>
          </w:divBdr>
        </w:div>
        <w:div w:id="754740404">
          <w:marLeft w:val="547"/>
          <w:marRight w:val="0"/>
          <w:marTop w:val="0"/>
          <w:marBottom w:val="0"/>
          <w:divBdr>
            <w:top w:val="none" w:sz="0" w:space="0" w:color="auto"/>
            <w:left w:val="none" w:sz="0" w:space="0" w:color="auto"/>
            <w:bottom w:val="none" w:sz="0" w:space="0" w:color="auto"/>
            <w:right w:val="none" w:sz="0" w:space="0" w:color="auto"/>
          </w:divBdr>
        </w:div>
      </w:divsChild>
    </w:div>
    <w:div w:id="1495341432">
      <w:bodyDiv w:val="1"/>
      <w:marLeft w:val="0"/>
      <w:marRight w:val="0"/>
      <w:marTop w:val="0"/>
      <w:marBottom w:val="0"/>
      <w:divBdr>
        <w:top w:val="none" w:sz="0" w:space="0" w:color="auto"/>
        <w:left w:val="none" w:sz="0" w:space="0" w:color="auto"/>
        <w:bottom w:val="none" w:sz="0" w:space="0" w:color="auto"/>
        <w:right w:val="none" w:sz="0" w:space="0" w:color="auto"/>
      </w:divBdr>
      <w:divsChild>
        <w:div w:id="1369179948">
          <w:marLeft w:val="547"/>
          <w:marRight w:val="0"/>
          <w:marTop w:val="0"/>
          <w:marBottom w:val="0"/>
          <w:divBdr>
            <w:top w:val="none" w:sz="0" w:space="0" w:color="auto"/>
            <w:left w:val="none" w:sz="0" w:space="0" w:color="auto"/>
            <w:bottom w:val="none" w:sz="0" w:space="0" w:color="auto"/>
            <w:right w:val="none" w:sz="0" w:space="0" w:color="auto"/>
          </w:divBdr>
        </w:div>
        <w:div w:id="637031756">
          <w:marLeft w:val="547"/>
          <w:marRight w:val="0"/>
          <w:marTop w:val="0"/>
          <w:marBottom w:val="0"/>
          <w:divBdr>
            <w:top w:val="none" w:sz="0" w:space="0" w:color="auto"/>
            <w:left w:val="none" w:sz="0" w:space="0" w:color="auto"/>
            <w:bottom w:val="none" w:sz="0" w:space="0" w:color="auto"/>
            <w:right w:val="none" w:sz="0" w:space="0" w:color="auto"/>
          </w:divBdr>
        </w:div>
        <w:div w:id="1568489959">
          <w:marLeft w:val="547"/>
          <w:marRight w:val="0"/>
          <w:marTop w:val="0"/>
          <w:marBottom w:val="0"/>
          <w:divBdr>
            <w:top w:val="none" w:sz="0" w:space="0" w:color="auto"/>
            <w:left w:val="none" w:sz="0" w:space="0" w:color="auto"/>
            <w:bottom w:val="none" w:sz="0" w:space="0" w:color="auto"/>
            <w:right w:val="none" w:sz="0" w:space="0" w:color="auto"/>
          </w:divBdr>
        </w:div>
        <w:div w:id="1662125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Users\fverzosa\AppData\Local\Microsoft\Windows\Temporary%20Internet%20Files\Content.Outlook\0KF14DEQ\ubcit_internal_docs2%201a%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32E903629543C48E0E4B3152611029"/>
        <w:category>
          <w:name w:val="General"/>
          <w:gallery w:val="placeholder"/>
        </w:category>
        <w:types>
          <w:type w:val="bbPlcHdr"/>
        </w:types>
        <w:behaviors>
          <w:behavior w:val="content"/>
        </w:behaviors>
        <w:guid w:val="{A5C79A12-B422-43E2-B6F3-FB24D150ADF3}"/>
      </w:docPartPr>
      <w:docPartBody>
        <w:p w:rsidR="00000000" w:rsidRDefault="009D3952" w:rsidP="009D3952">
          <w:pPr>
            <w:pStyle w:val="6632E903629543C48E0E4B3152611029"/>
          </w:pPr>
          <w:r>
            <w:rPr>
              <w:rFonts w:asciiTheme="majorHAnsi" w:eastAsiaTheme="majorEastAsia" w:hAnsiTheme="majorHAnsi" w:cstheme="majorBidi"/>
              <w:sz w:val="36"/>
              <w:szCs w:val="36"/>
            </w:rPr>
            <w:t>[Type the document title]</w:t>
          </w:r>
        </w:p>
      </w:docPartBody>
    </w:docPart>
    <w:docPart>
      <w:docPartPr>
        <w:name w:val="934F9DC2FE5A4E5FAB8EA19F087A660D"/>
        <w:category>
          <w:name w:val="General"/>
          <w:gallery w:val="placeholder"/>
        </w:category>
        <w:types>
          <w:type w:val="bbPlcHdr"/>
        </w:types>
        <w:behaviors>
          <w:behavior w:val="content"/>
        </w:behaviors>
        <w:guid w:val="{0982F791-A558-4F54-B88C-16A8FED6B87B}"/>
      </w:docPartPr>
      <w:docPartBody>
        <w:p w:rsidR="00000000" w:rsidRDefault="009D3952" w:rsidP="009D3952">
          <w:pPr>
            <w:pStyle w:val="934F9DC2FE5A4E5FAB8EA19F087A660D"/>
          </w:pPr>
          <w:r>
            <w:rPr>
              <w:rFonts w:asciiTheme="majorHAnsi" w:eastAsiaTheme="majorEastAsia" w:hAnsiTheme="majorHAnsi" w:cstheme="majorBidi"/>
              <w:sz w:val="36"/>
              <w:szCs w:val="36"/>
            </w:rPr>
            <w:t>[Type the document title]</w:t>
          </w:r>
        </w:p>
      </w:docPartBody>
    </w:docPart>
    <w:docPart>
      <w:docPartPr>
        <w:name w:val="8D684503337148F1A99EF90F0B2D5EA8"/>
        <w:category>
          <w:name w:val="General"/>
          <w:gallery w:val="placeholder"/>
        </w:category>
        <w:types>
          <w:type w:val="bbPlcHdr"/>
        </w:types>
        <w:behaviors>
          <w:behavior w:val="content"/>
        </w:behaviors>
        <w:guid w:val="{A53709B5-4233-4C72-9281-4ABADA3FA846}"/>
      </w:docPartPr>
      <w:docPartBody>
        <w:p w:rsidR="00000000" w:rsidRDefault="009D3952" w:rsidP="009D3952">
          <w:pPr>
            <w:pStyle w:val="8D684503337148F1A99EF90F0B2D5EA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952"/>
    <w:rsid w:val="006B302E"/>
    <w:rsid w:val="009D39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2E903629543C48E0E4B3152611029">
    <w:name w:val="6632E903629543C48E0E4B3152611029"/>
    <w:rsid w:val="009D3952"/>
  </w:style>
  <w:style w:type="paragraph" w:customStyle="1" w:styleId="154957A5698544178FE669EED04E43E2">
    <w:name w:val="154957A5698544178FE669EED04E43E2"/>
    <w:rsid w:val="009D3952"/>
  </w:style>
  <w:style w:type="paragraph" w:customStyle="1" w:styleId="934F9DC2FE5A4E5FAB8EA19F087A660D">
    <w:name w:val="934F9DC2FE5A4E5FAB8EA19F087A660D"/>
    <w:rsid w:val="009D3952"/>
  </w:style>
  <w:style w:type="paragraph" w:customStyle="1" w:styleId="8D684503337148F1A99EF90F0B2D5EA8">
    <w:name w:val="8D684503337148F1A99EF90F0B2D5EA8"/>
    <w:rsid w:val="009D39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ITSM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54B152DACB9F4FA92F27D9E3269E28" ma:contentTypeVersion="0" ma:contentTypeDescription="Create a new document." ma:contentTypeScope="" ma:versionID="6b567953b4b70d1e64a2a9694c0f96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21C2056-C844-47E9-B43F-03D6ED85D619}"/>
</file>

<file path=customXml/itemProps3.xml><?xml version="1.0" encoding="utf-8"?>
<ds:datastoreItem xmlns:ds="http://schemas.openxmlformats.org/officeDocument/2006/customXml" ds:itemID="{B4A35F6B-B38C-47B6-9D71-2B5758261CA6}"/>
</file>

<file path=customXml/itemProps4.xml><?xml version="1.0" encoding="utf-8"?>
<ds:datastoreItem xmlns:ds="http://schemas.openxmlformats.org/officeDocument/2006/customXml" ds:itemID="{C1F86628-4582-4F06-983A-B1532FB2CA74}"/>
</file>

<file path=customXml/itemProps5.xml><?xml version="1.0" encoding="utf-8"?>
<ds:datastoreItem xmlns:ds="http://schemas.openxmlformats.org/officeDocument/2006/customXml" ds:itemID="{306C5EE3-B38C-4037-BBB9-D423A378DF93}"/>
</file>

<file path=docProps/app.xml><?xml version="1.0" encoding="utf-8"?>
<Properties xmlns="http://schemas.openxmlformats.org/officeDocument/2006/extended-properties" xmlns:vt="http://schemas.openxmlformats.org/officeDocument/2006/docPropsVTypes">
  <Template>ubcit_internal_docs2 1a (5)</Template>
  <TotalTime>277</TotalTime>
  <Pages>11</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fverzosa</dc:creator>
  <cp:lastModifiedBy>cutshall</cp:lastModifiedBy>
  <cp:revision>15</cp:revision>
  <cp:lastPrinted>2010-09-22T17:57:00Z</cp:lastPrinted>
  <dcterms:created xsi:type="dcterms:W3CDTF">2011-02-21T17:44:00Z</dcterms:created>
  <dcterms:modified xsi:type="dcterms:W3CDTF">2011-02-21T22:21:00Z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0x010100EB54B152DACB9F4FA92F27D9E3269E28</vt:lpwstr>
  </property>
</Properties>
</file>